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25" w:rsidRDefault="00817525" w:rsidP="00817525">
      <w:pPr>
        <w:pStyle w:val="Paragraphedeliste"/>
        <w:ind w:left="0"/>
        <w:jc w:val="center"/>
        <w:rPr>
          <w:rFonts w:ascii="Tahoma" w:hAnsi="Tahoma" w:cs="Tahoma"/>
          <w:b/>
          <w:sz w:val="22"/>
          <w:szCs w:val="22"/>
          <w:lang w:val="fr-FR"/>
        </w:rPr>
      </w:pPr>
      <w:r w:rsidRPr="00DD4AF8">
        <w:rPr>
          <w:rFonts w:ascii="Tahoma" w:hAnsi="Tahoma" w:cs="Tahoma"/>
          <w:b/>
          <w:noProof/>
          <w:sz w:val="22"/>
          <w:szCs w:val="22"/>
          <w:lang w:val="fr-FR" w:eastAsia="fr-FR"/>
        </w:rPr>
        <w:drawing>
          <wp:inline distT="0" distB="0" distL="0" distR="0">
            <wp:extent cx="1137684" cy="730577"/>
            <wp:effectExtent l="0" t="0" r="5715" b="0"/>
            <wp:docPr id="2" name="Image 1" descr="C:\Users\RESPSAACFNI\Desktop\Branding\Logo-symbol\Fr_Col_RGB_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PSAACFNI\Desktop\Branding\Logo-symbol\Fr_Col_RGB_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32" cy="74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25" w:rsidRDefault="00817525" w:rsidP="00817525">
      <w:pPr>
        <w:pStyle w:val="Paragraphedeliste"/>
        <w:ind w:left="0"/>
        <w:jc w:val="both"/>
        <w:rPr>
          <w:rFonts w:ascii="Tahoma" w:hAnsi="Tahoma" w:cs="Tahoma"/>
          <w:b/>
          <w:sz w:val="22"/>
          <w:szCs w:val="22"/>
          <w:lang w:val="fr-FR"/>
        </w:rPr>
      </w:pPr>
    </w:p>
    <w:p w:rsidR="00817525" w:rsidRPr="00A82BCA" w:rsidRDefault="00817525" w:rsidP="003C3092">
      <w:pPr>
        <w:shd w:val="clear" w:color="auto" w:fill="005FB6" w:themeFill="accent2"/>
        <w:tabs>
          <w:tab w:val="left" w:pos="426"/>
        </w:tabs>
        <w:spacing w:after="0"/>
        <w:jc w:val="center"/>
        <w:rPr>
          <w:rFonts w:asciiTheme="majorHAnsi" w:hAnsiTheme="majorHAnsi" w:cs="Tahoma"/>
          <w:b/>
          <w:bCs/>
          <w:color w:val="FFFFFF" w:themeColor="background1"/>
          <w:sz w:val="26"/>
          <w:szCs w:val="28"/>
        </w:rPr>
      </w:pPr>
      <w:r w:rsidRPr="00A82BCA">
        <w:rPr>
          <w:rFonts w:asciiTheme="majorHAnsi" w:hAnsiTheme="majorHAnsi" w:cs="Tahoma"/>
          <w:b/>
          <w:bCs/>
          <w:color w:val="FFFFFF" w:themeColor="background1"/>
          <w:sz w:val="26"/>
          <w:szCs w:val="28"/>
        </w:rPr>
        <w:t>APPEL A CANDIDATURES : CONSULTATION</w:t>
      </w:r>
    </w:p>
    <w:p w:rsidR="00817525" w:rsidRDefault="00081A8F" w:rsidP="00817525">
      <w:pPr>
        <w:tabs>
          <w:tab w:val="left" w:pos="426"/>
        </w:tabs>
        <w:contextualSpacing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Un (e) Consultant (e) </w:t>
      </w:r>
      <w:r w:rsidR="00817525" w:rsidRPr="00817525">
        <w:rPr>
          <w:rFonts w:asciiTheme="majorHAnsi" w:hAnsiTheme="majorHAnsi" w:cs="Tahoma"/>
          <w:b/>
        </w:rPr>
        <w:t xml:space="preserve">pour </w:t>
      </w:r>
      <w:r>
        <w:rPr>
          <w:rFonts w:asciiTheme="majorHAnsi" w:hAnsiTheme="majorHAnsi" w:cs="Tahoma"/>
          <w:b/>
        </w:rPr>
        <w:t xml:space="preserve">l’évaluation finale d’un projet </w:t>
      </w:r>
      <w:r w:rsidR="006C515C">
        <w:rPr>
          <w:rFonts w:asciiTheme="majorHAnsi" w:hAnsiTheme="majorHAnsi" w:cs="Tahoma"/>
          <w:b/>
        </w:rPr>
        <w:t xml:space="preserve">WASH </w:t>
      </w:r>
      <w:r>
        <w:rPr>
          <w:rFonts w:asciiTheme="majorHAnsi" w:hAnsiTheme="majorHAnsi" w:cs="Tahoma"/>
          <w:b/>
        </w:rPr>
        <w:t>dans la région de Diffa</w:t>
      </w:r>
    </w:p>
    <w:p w:rsidR="00081A8F" w:rsidRPr="00117F9D" w:rsidRDefault="00081A8F" w:rsidP="00117F9D">
      <w:pPr>
        <w:tabs>
          <w:tab w:val="left" w:pos="426"/>
        </w:tabs>
        <w:contextualSpacing/>
        <w:jc w:val="both"/>
        <w:rPr>
          <w:rFonts w:asciiTheme="majorHAnsi" w:hAnsiTheme="majorHAnsi" w:cs="Tahoma"/>
          <w:b/>
          <w:bCs/>
          <w:color w:val="000000"/>
          <w:sz w:val="8"/>
          <w:lang w:val="es-ES"/>
        </w:rPr>
      </w:pPr>
    </w:p>
    <w:p w:rsidR="00817525" w:rsidRDefault="00817525" w:rsidP="004443D5">
      <w:pPr>
        <w:spacing w:after="0"/>
        <w:jc w:val="both"/>
      </w:pPr>
      <w:r w:rsidRPr="008A4312">
        <w:t>Action contre la Faim</w:t>
      </w:r>
      <w:r>
        <w:t xml:space="preserve"> </w:t>
      </w:r>
      <w:r w:rsidRPr="008A4312">
        <w:t xml:space="preserve">est une organisation non gouvernementale humanitaire qui intervient </w:t>
      </w:r>
      <w:r w:rsidR="00081A8F">
        <w:t>dans l’Est du</w:t>
      </w:r>
      <w:r w:rsidRPr="008A4312">
        <w:t xml:space="preserve"> Niger dans le </w:t>
      </w:r>
      <w:r w:rsidR="00081A8F">
        <w:t xml:space="preserve">contexte de la crise du Lac Tchad, en réponse à l’urgence provoquée par les attaques répétées de </w:t>
      </w:r>
      <w:proofErr w:type="spellStart"/>
      <w:r w:rsidR="00081A8F">
        <w:t>Boko</w:t>
      </w:r>
      <w:proofErr w:type="spellEnd"/>
      <w:r w:rsidR="00081A8F">
        <w:t xml:space="preserve"> </w:t>
      </w:r>
      <w:proofErr w:type="spellStart"/>
      <w:r w:rsidR="00081A8F">
        <w:t>Haram</w:t>
      </w:r>
      <w:proofErr w:type="spellEnd"/>
      <w:r w:rsidR="00081A8F">
        <w:t xml:space="preserve"> dans la région de Diffa et à la frontière avec le Nigéria. </w:t>
      </w:r>
      <w:r w:rsidR="006C515C">
        <w:t xml:space="preserve"> Ses principaux domaines d’intervention concernent la sécurité alimentaire, la WASH et la nutrition.</w:t>
      </w:r>
    </w:p>
    <w:p w:rsidR="00117F9D" w:rsidRDefault="00117F9D" w:rsidP="00A82BCA">
      <w:pPr>
        <w:spacing w:after="0"/>
        <w:jc w:val="both"/>
        <w:rPr>
          <w:bCs/>
        </w:rPr>
      </w:pPr>
    </w:p>
    <w:p w:rsidR="00E968CB" w:rsidRDefault="003C3092" w:rsidP="00E968CB">
      <w:pPr>
        <w:spacing w:before="120" w:after="120"/>
        <w:jc w:val="both"/>
        <w:rPr>
          <w:bCs/>
        </w:rPr>
      </w:pPr>
      <w:r>
        <w:rPr>
          <w:bCs/>
        </w:rPr>
        <w:t>Afin de répondre aux besoins humanitaires en eau, hygiène et assainissement des populations vulnérables affectées par la crise, A</w:t>
      </w:r>
      <w:r w:rsidR="00C86CED">
        <w:rPr>
          <w:bCs/>
        </w:rPr>
        <w:t>ction contre la Faim</w:t>
      </w:r>
      <w:r>
        <w:rPr>
          <w:bCs/>
        </w:rPr>
        <w:t xml:space="preserve"> implémente depuis le 1</w:t>
      </w:r>
      <w:r w:rsidRPr="00DA6CC7">
        <w:rPr>
          <w:bCs/>
          <w:vertAlign w:val="superscript"/>
        </w:rPr>
        <w:t>er</w:t>
      </w:r>
      <w:r>
        <w:rPr>
          <w:bCs/>
        </w:rPr>
        <w:t xml:space="preserve"> août 2016 un projet d’une durée d’un an et financé par BPRM</w:t>
      </w:r>
      <w:r w:rsidR="00E968CB">
        <w:rPr>
          <w:bCs/>
        </w:rPr>
        <w:t xml:space="preserve">. </w:t>
      </w:r>
      <w:r w:rsidR="00E968CB">
        <w:rPr>
          <w:bCs/>
        </w:rPr>
        <w:t>Les objectifs du projet sont : (1) améliorer l’accès à l’assainissement par la construction de latrines, (2) améliorer l’accès à l’eau au niveau des communautés et (3) améliorer les connaissances des communautés en matière d’hygiène et de prévention des maladies d’origine hydriques.</w:t>
      </w:r>
    </w:p>
    <w:p w:rsidR="00E968CB" w:rsidRDefault="00E968CB" w:rsidP="00E968CB">
      <w:pPr>
        <w:numPr>
          <w:ilvl w:val="12"/>
          <w:numId w:val="0"/>
        </w:numPr>
        <w:spacing w:before="120" w:after="120"/>
        <w:jc w:val="both"/>
        <w:rPr>
          <w:bCs/>
        </w:rPr>
      </w:pPr>
      <w:r>
        <w:rPr>
          <w:bCs/>
        </w:rPr>
        <w:t>Dans la mise en œuvre du projet, Action contre la Faim a stipulé un accord de partenariat avec une ONG locale DEMI-E, qui dans tous les projets qu’Action contre la Faim a mis en place dans la zone, s’est occupé du volet de sensibilisation des communautés.</w:t>
      </w:r>
    </w:p>
    <w:p w:rsidR="00E968CB" w:rsidRPr="00F610D9" w:rsidRDefault="00E968CB" w:rsidP="00E968CB">
      <w:pPr>
        <w:numPr>
          <w:ilvl w:val="12"/>
          <w:numId w:val="0"/>
        </w:numPr>
        <w:spacing w:before="120" w:after="120"/>
        <w:jc w:val="both"/>
        <w:rPr>
          <w:bCs/>
          <w:color w:val="FF0000"/>
        </w:rPr>
      </w:pPr>
      <w:r w:rsidRPr="00DD2478">
        <w:t xml:space="preserve">Après dix mois de mise en œuvre, le projet procède à une évaluation </w:t>
      </w:r>
      <w:r>
        <w:t xml:space="preserve">externe </w:t>
      </w:r>
      <w:r w:rsidRPr="00DD2478">
        <w:t>de son action</w:t>
      </w:r>
      <w:r>
        <w:t xml:space="preserve"> afin d’évaluer</w:t>
      </w:r>
      <w:r w:rsidRPr="00DD2478">
        <w:t xml:space="preserve"> </w:t>
      </w:r>
      <w:r>
        <w:t>(</w:t>
      </w:r>
      <w:proofErr w:type="gramStart"/>
      <w:r>
        <w:t>1)</w:t>
      </w:r>
      <w:r w:rsidRPr="00DD2478">
        <w:t>–</w:t>
      </w:r>
      <w:proofErr w:type="gramEnd"/>
      <w:r w:rsidRPr="00DD2478">
        <w:t xml:space="preserve"> </w:t>
      </w:r>
      <w:r>
        <w:t>l’</w:t>
      </w:r>
      <w:r w:rsidRPr="00DD2478">
        <w:t xml:space="preserve">impact </w:t>
      </w:r>
      <w:r>
        <w:t xml:space="preserve">du projet </w:t>
      </w:r>
      <w:r w:rsidRPr="00DD2478">
        <w:t>dans la vie des membres des communautés bénéficiaires</w:t>
      </w:r>
      <w:r>
        <w:t>, (2)</w:t>
      </w:r>
      <w:r w:rsidRPr="00DD2478">
        <w:t xml:space="preserve"> la viabilité du modèle </w:t>
      </w:r>
      <w:r>
        <w:t xml:space="preserve">proposé par le projet, </w:t>
      </w:r>
      <w:r w:rsidRPr="00DD2478">
        <w:t>dans la promotion du changement de comportement en matière d’EHA</w:t>
      </w:r>
      <w:r>
        <w:t xml:space="preserve"> et (3)</w:t>
      </w:r>
      <w:r w:rsidRPr="00DD2478">
        <w:t xml:space="preserve"> les possibilités et la probabilité du succès de son expansion</w:t>
      </w:r>
      <w:r>
        <w:t>.</w:t>
      </w:r>
    </w:p>
    <w:p w:rsidR="003C3092" w:rsidRDefault="00E968CB" w:rsidP="00A82BCA">
      <w:pPr>
        <w:spacing w:after="0"/>
        <w:jc w:val="both"/>
      </w:pPr>
      <w:r>
        <w:rPr>
          <w:bCs/>
        </w:rPr>
        <w:t>Action Contre la Faim est donc à la recherche d</w:t>
      </w:r>
      <w:r>
        <w:t>’un</w:t>
      </w:r>
      <w:r w:rsidR="003C3092">
        <w:t xml:space="preserve"> consultant </w:t>
      </w:r>
      <w:r>
        <w:t xml:space="preserve">pour une durée de 25 jours qui </w:t>
      </w:r>
      <w:bookmarkStart w:id="0" w:name="_GoBack"/>
      <w:bookmarkEnd w:id="0"/>
      <w:r w:rsidR="003C3092">
        <w:t>aura comme objectifs :</w:t>
      </w:r>
    </w:p>
    <w:p w:rsidR="003C3092" w:rsidRPr="003C3092" w:rsidRDefault="003C3092" w:rsidP="00C86CED">
      <w:pPr>
        <w:pStyle w:val="Paragraphedeliste"/>
        <w:numPr>
          <w:ilvl w:val="0"/>
          <w:numId w:val="3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Vérifier l’atteinte des objectifs du projet, global et spécifique ;</w:t>
      </w:r>
    </w:p>
    <w:p w:rsidR="003C3092" w:rsidRPr="003C3092" w:rsidRDefault="003C3092" w:rsidP="00C86CED">
      <w:pPr>
        <w:pStyle w:val="Paragraphedeliste"/>
        <w:numPr>
          <w:ilvl w:val="0"/>
          <w:numId w:val="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Vérifier et Contrôler les indicateurs atteints par le projet ;</w:t>
      </w:r>
    </w:p>
    <w:p w:rsidR="003C3092" w:rsidRPr="003C3092" w:rsidRDefault="003C3092" w:rsidP="00C86CED">
      <w:pPr>
        <w:pStyle w:val="Paragraphedeliste"/>
        <w:numPr>
          <w:ilvl w:val="0"/>
          <w:numId w:val="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Evaluer la méthodologie de mise en œuvre du projet ;</w:t>
      </w:r>
    </w:p>
    <w:p w:rsidR="003C3092" w:rsidRPr="003C3092" w:rsidRDefault="003C3092" w:rsidP="00C86CED">
      <w:pPr>
        <w:pStyle w:val="Paragraphedeliste"/>
        <w:numPr>
          <w:ilvl w:val="0"/>
          <w:numId w:val="2"/>
        </w:numPr>
        <w:spacing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Évaluer le potentiel pour la durabilité et la pérennité ou l’appropriation de l’approche/action au niveau des communautés ;</w:t>
      </w:r>
    </w:p>
    <w:p w:rsidR="003C3092" w:rsidRPr="003C3092" w:rsidRDefault="003C3092" w:rsidP="00C86CED">
      <w:pPr>
        <w:pStyle w:val="Commentaire"/>
        <w:numPr>
          <w:ilvl w:val="0"/>
          <w:numId w:val="2"/>
        </w:numPr>
        <w:spacing w:line="276" w:lineRule="auto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eastAsia="en-US"/>
        </w:rPr>
        <w:t>Evaluer le niveau de satisfaction des bénéficiaires à l’égard de l’action du projet : le niveau de leur implication, la satisfaction au-delà de l’action du projet, les changements positifs constatés en matière d’EHA</w:t>
      </w:r>
    </w:p>
    <w:p w:rsidR="003C3092" w:rsidRPr="003C3092" w:rsidRDefault="003C3092" w:rsidP="00C86CED">
      <w:pPr>
        <w:pStyle w:val="Commentaire"/>
        <w:numPr>
          <w:ilvl w:val="0"/>
          <w:numId w:val="2"/>
        </w:numPr>
        <w:spacing w:line="276" w:lineRule="auto"/>
        <w:ind w:left="714" w:hanging="35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eastAsia="en-US"/>
        </w:rPr>
        <w:t>Evaluer le niveau d’impact en termes de perception et changement de comportement des populations bénéficiaires ;</w:t>
      </w:r>
    </w:p>
    <w:p w:rsidR="003C3092" w:rsidRDefault="003C3092" w:rsidP="00C86CED">
      <w:pPr>
        <w:pStyle w:val="Paragraphedeliste"/>
        <w:numPr>
          <w:ilvl w:val="0"/>
          <w:numId w:val="2"/>
        </w:numPr>
        <w:spacing w:line="276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Evaluer le niveau de partenariat entre le staff d’ACF et l’ONG </w:t>
      </w:r>
      <w:r w:rsidR="004443D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partenaire </w:t>
      </w: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DEMI-E</w:t>
      </w:r>
    </w:p>
    <w:p w:rsidR="00A82BCA" w:rsidRDefault="003C3092" w:rsidP="00A82BCA">
      <w:pPr>
        <w:pStyle w:val="Paragraphedeliste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Evaluer la redevabilité des actions du projet vis-à-vis des bénéficiaires et les intervenants au projet.</w:t>
      </w:r>
    </w:p>
    <w:p w:rsidR="00A82BCA" w:rsidRPr="00A82BCA" w:rsidRDefault="00A82BCA" w:rsidP="00A82BCA">
      <w:pPr>
        <w:pStyle w:val="Paragraphedeliste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:rsidR="00817525" w:rsidRDefault="00817525" w:rsidP="00817525">
      <w:pPr>
        <w:pStyle w:val="Paragraphedeliste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Les ca</w:t>
      </w:r>
      <w:r w:rsidR="001F6E38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ndidats possédant les compétences</w:t>
      </w: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re</w:t>
      </w:r>
      <w:r w:rsidR="00D27896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quises et intéressés</w:t>
      </w: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peuvent postuler en déposant à Action Contre la </w:t>
      </w:r>
      <w:r w:rsid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Faim, 213 rue du </w:t>
      </w:r>
      <w:proofErr w:type="spellStart"/>
      <w:r w:rsid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Béli</w:t>
      </w:r>
      <w:proofErr w:type="spellEnd"/>
      <w:r w:rsid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, Niamey, </w:t>
      </w: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une offre technique (comprenant entre autres le CV du consultant) et financière</w:t>
      </w:r>
      <w: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 :</w:t>
      </w:r>
    </w:p>
    <w:p w:rsidR="00D27896" w:rsidRDefault="00D27896" w:rsidP="00D27896">
      <w:pPr>
        <w:pStyle w:val="Paragraphedeliste"/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</w:p>
    <w:p w:rsidR="00817525" w:rsidRPr="00D27896" w:rsidRDefault="00E675E2" w:rsidP="00817525">
      <w:pPr>
        <w:pStyle w:val="Paragraphedeliste"/>
        <w:jc w:val="center"/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</w:pPr>
      <w:proofErr w:type="gramStart"/>
      <w:r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>au</w:t>
      </w:r>
      <w:proofErr w:type="gramEnd"/>
      <w:r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 xml:space="preserve"> plus tard le </w:t>
      </w:r>
      <w:r w:rsidR="003C3092"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>2</w:t>
      </w:r>
      <w:r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 xml:space="preserve">3 </w:t>
      </w:r>
      <w:r w:rsidR="003C3092"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>juin</w:t>
      </w:r>
      <w:r w:rsidR="00817525" w:rsidRPr="00D27896"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 xml:space="preserve"> 2017 à 1</w:t>
      </w:r>
      <w:r w:rsidR="00D27896" w:rsidRPr="00D27896"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>7</w:t>
      </w:r>
      <w:r w:rsidR="00817525" w:rsidRPr="00D27896">
        <w:rPr>
          <w:rFonts w:asciiTheme="majorHAnsi" w:eastAsiaTheme="minorHAnsi" w:hAnsiTheme="majorHAnsi" w:cstheme="minorBidi"/>
          <w:b/>
          <w:i/>
          <w:u w:val="single"/>
          <w:lang w:val="fr-FR" w:eastAsia="en-US"/>
        </w:rPr>
        <w:t>h00</w:t>
      </w:r>
    </w:p>
    <w:p w:rsidR="00D27896" w:rsidRPr="00D27896" w:rsidRDefault="00D27896" w:rsidP="00817525">
      <w:pPr>
        <w:pStyle w:val="Paragraphedeliste"/>
        <w:jc w:val="center"/>
        <w:rPr>
          <w:rFonts w:asciiTheme="minorHAnsi" w:eastAsiaTheme="minorHAnsi" w:hAnsiTheme="minorHAnsi" w:cstheme="minorBidi"/>
          <w:b/>
          <w:sz w:val="22"/>
          <w:szCs w:val="22"/>
          <w:lang w:val="fr-FR" w:eastAsia="en-US"/>
        </w:rPr>
      </w:pPr>
    </w:p>
    <w:p w:rsidR="00817525" w:rsidRPr="00605104" w:rsidRDefault="00817525" w:rsidP="00817525">
      <w:pPr>
        <w:pStyle w:val="Paragraphedeliste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Cette offre technique et financière doit être sous </w:t>
      </w:r>
      <w:r w:rsidR="00A82BCA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pli fermé et portant mention « </w:t>
      </w: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Appel à candidatures, </w:t>
      </w:r>
      <w:r w:rsidR="003C3092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Evaluation finale du Projet BPRM, dans la région de Diffa</w:t>
      </w:r>
      <w:r w:rsidRPr="00605104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 ».</w:t>
      </w:r>
    </w:p>
    <w:p w:rsidR="00817525" w:rsidRPr="00D66EF2" w:rsidRDefault="00817525" w:rsidP="00817525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421CB2" w:rsidRPr="00817525" w:rsidRDefault="00817525" w:rsidP="00817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6F6F" w:themeFill="accent3"/>
        <w:jc w:val="center"/>
        <w:rPr>
          <w:rFonts w:asciiTheme="majorHAnsi" w:hAnsiTheme="majorHAnsi" w:cs="Tahoma"/>
        </w:rPr>
      </w:pPr>
      <w:r w:rsidRPr="00817525">
        <w:rPr>
          <w:rFonts w:asciiTheme="majorHAnsi" w:hAnsiTheme="majorHAnsi" w:cs="Tahoma"/>
          <w:b/>
        </w:rPr>
        <w:t>NB : Seules les candidatures présélectionnées seront contactées</w:t>
      </w:r>
    </w:p>
    <w:sectPr w:rsidR="00421CB2" w:rsidRPr="00817525" w:rsidSect="00A82B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Futura LT Pro Book">
    <w:altName w:val="Times New Roman"/>
    <w:charset w:val="00"/>
    <w:family w:val="swiss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2C41"/>
    <w:multiLevelType w:val="hybridMultilevel"/>
    <w:tmpl w:val="DC7E6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4542D"/>
    <w:multiLevelType w:val="hybridMultilevel"/>
    <w:tmpl w:val="33743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3461"/>
    <w:multiLevelType w:val="hybridMultilevel"/>
    <w:tmpl w:val="06542526"/>
    <w:lvl w:ilvl="0" w:tplc="F21802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7E97"/>
    <w:multiLevelType w:val="hybridMultilevel"/>
    <w:tmpl w:val="242AC56A"/>
    <w:lvl w:ilvl="0" w:tplc="64E87064">
      <w:start w:val="6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25"/>
    <w:rsid w:val="0005001E"/>
    <w:rsid w:val="00081A8F"/>
    <w:rsid w:val="000A45C0"/>
    <w:rsid w:val="00117F9D"/>
    <w:rsid w:val="001F6E38"/>
    <w:rsid w:val="002D205B"/>
    <w:rsid w:val="003C3092"/>
    <w:rsid w:val="00421CB2"/>
    <w:rsid w:val="004443D5"/>
    <w:rsid w:val="00656BB5"/>
    <w:rsid w:val="006C515C"/>
    <w:rsid w:val="007E2096"/>
    <w:rsid w:val="007E671E"/>
    <w:rsid w:val="00817525"/>
    <w:rsid w:val="00820B43"/>
    <w:rsid w:val="008D6AF7"/>
    <w:rsid w:val="009C4D25"/>
    <w:rsid w:val="00A82BCA"/>
    <w:rsid w:val="00B01015"/>
    <w:rsid w:val="00C86CED"/>
    <w:rsid w:val="00D27896"/>
    <w:rsid w:val="00D70842"/>
    <w:rsid w:val="00E675E2"/>
    <w:rsid w:val="00E968CB"/>
    <w:rsid w:val="00EC0E7D"/>
    <w:rsid w:val="00F33594"/>
    <w:rsid w:val="00F33F3C"/>
    <w:rsid w:val="00F74030"/>
    <w:rsid w:val="00FB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6E"/>
  <w15:docId w15:val="{4631CC51-236E-46EE-A007-4A405F7C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7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525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C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3C309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RAND_THEME">
  <a:themeElements>
    <a:clrScheme name="PRUEBA">
      <a:dk1>
        <a:srgbClr val="000000"/>
      </a:dk1>
      <a:lt1>
        <a:srgbClr val="FFFFFF"/>
      </a:lt1>
      <a:dk2>
        <a:srgbClr val="FFFFFF"/>
      </a:dk2>
      <a:lt2>
        <a:srgbClr val="FFFFFF"/>
      </a:lt2>
      <a:accent1>
        <a:srgbClr val="52AE32"/>
      </a:accent1>
      <a:accent2>
        <a:srgbClr val="005FB6"/>
      </a:accent2>
      <a:accent3>
        <a:srgbClr val="706F6F"/>
      </a:accent3>
      <a:accent4>
        <a:srgbClr val="EE7203"/>
      </a:accent4>
      <a:accent5>
        <a:srgbClr val="52AE32"/>
      </a:accent5>
      <a:accent6>
        <a:srgbClr val="005FB6"/>
      </a:accent6>
      <a:hlink>
        <a:srgbClr val="0070C0"/>
      </a:hlink>
      <a:folHlink>
        <a:srgbClr val="954F72"/>
      </a:folHlink>
    </a:clrScheme>
    <a:fontScheme name="Personalizado 2">
      <a:majorFont>
        <a:latin typeface="Futura LT Pro Book"/>
        <a:ea typeface=""/>
        <a:cs typeface=""/>
      </a:majorFont>
      <a:minorFont>
        <a:latin typeface="Lato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EMPLATE PPT BRAND_ESP.potx" id="{00D8F79C-1762-4050-8658-B380D7E9AD1D}" vid="{FC7AA549-08BF-413B-91C7-2D4FAB3AFCD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Directeur Pays ACF</dc:creator>
  <cp:lastModifiedBy>ADP ACF</cp:lastModifiedBy>
  <cp:revision>2</cp:revision>
  <dcterms:created xsi:type="dcterms:W3CDTF">2017-06-06T11:43:00Z</dcterms:created>
  <dcterms:modified xsi:type="dcterms:W3CDTF">2017-06-06T11:43:00Z</dcterms:modified>
</cp:coreProperties>
</file>