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CF2E" w14:textId="2C02BB73" w:rsidR="00C6764E" w:rsidRDefault="00C6764E" w:rsidP="00C6764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B4E41" wp14:editId="360234F0">
                <wp:simplePos x="0" y="0"/>
                <wp:positionH relativeFrom="column">
                  <wp:posOffset>1258189</wp:posOffset>
                </wp:positionH>
                <wp:positionV relativeFrom="paragraph">
                  <wp:posOffset>-343840</wp:posOffset>
                </wp:positionV>
                <wp:extent cx="4760595" cy="885139"/>
                <wp:effectExtent l="0" t="0" r="190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88513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C9010" w14:textId="434AA42A" w:rsidR="00DD6271" w:rsidRPr="00901F65" w:rsidRDefault="00DD6271" w:rsidP="00C6764E">
                            <w:pPr>
                              <w:spacing w:after="0"/>
                              <w:jc w:val="right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Termes de Référence</w:t>
                            </w:r>
                          </w:p>
                          <w:p w14:paraId="172BAEFF" w14:textId="77777777" w:rsidR="00DD6271" w:rsidRPr="00C6764E" w:rsidRDefault="00DD6271" w:rsidP="00C6764E">
                            <w:pPr>
                              <w:spacing w:after="0"/>
                              <w:jc w:val="right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764E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Consultance pour un diagnostic de plaidoyer humanitaire dans la région de Diffa, Niger</w:t>
                            </w:r>
                          </w:p>
                          <w:p w14:paraId="58C6956D" w14:textId="77777777" w:rsidR="00DD6271" w:rsidRDefault="00DD6271" w:rsidP="00C6764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B4E4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99.05pt;margin-top:-27.05pt;width:374.85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" fillcolor="#0070c0" stroked="f">
                <v:textbox>
                  <w:txbxContent>
                    <w:p w14:paraId="2AFC9010" w14:textId="434AA42A" w:rsidR="00DD6271" w:rsidRPr="00901F65" w:rsidRDefault="00DD6271" w:rsidP="00C6764E">
                      <w:pPr>
                        <w:spacing w:after="0"/>
                        <w:jc w:val="right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Termes de Référence</w:t>
                      </w:r>
                    </w:p>
                    <w:p w14:paraId="172BAEFF" w14:textId="77777777" w:rsidR="00DD6271" w:rsidRPr="00C6764E" w:rsidRDefault="00DD6271" w:rsidP="00C6764E">
                      <w:pPr>
                        <w:spacing w:after="0"/>
                        <w:jc w:val="right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764E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Consultance pour un diagnostic de plaidoyer humanitaire dans la région de Diffa, Niger</w:t>
                      </w:r>
                    </w:p>
                    <w:p w14:paraId="58C6956D" w14:textId="77777777" w:rsidR="00DD6271" w:rsidRDefault="00DD6271" w:rsidP="00C6764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5C67E" wp14:editId="21D68853">
                <wp:simplePos x="0" y="0"/>
                <wp:positionH relativeFrom="column">
                  <wp:posOffset>-43917</wp:posOffset>
                </wp:positionH>
                <wp:positionV relativeFrom="paragraph">
                  <wp:posOffset>-438937</wp:posOffset>
                </wp:positionV>
                <wp:extent cx="6263640" cy="1060500"/>
                <wp:effectExtent l="0" t="0" r="381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1060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120C" w14:textId="77777777" w:rsidR="00DD6271" w:rsidRPr="008B6610" w:rsidRDefault="00DD6271" w:rsidP="00C6764E">
                            <w:pPr>
                              <w:spacing w:after="0"/>
                              <w:jc w:val="both"/>
                              <w:rPr>
                                <w:rFonts w:ascii="Futura LT Pro Book" w:hAnsi="Futura LT Pro Book" w:cstheme="minorHAnsi"/>
                                <w:color w:val="FFFFFF" w:themeColor="background1"/>
                                <w:sz w:val="16"/>
                                <w:szCs w:val="32"/>
                              </w:rPr>
                            </w:pPr>
                            <w:r w:rsidRPr="00901F65">
                              <w:rPr>
                                <w:rFonts w:ascii="Futura LT Pro Book" w:hAnsi="Futura LT Pro Book" w:cstheme="minorHAnsi"/>
                                <w:noProof/>
                                <w:color w:val="FFFFFF" w:themeColor="background1"/>
                                <w:sz w:val="16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703C33E8" wp14:editId="50A03381">
                                  <wp:extent cx="438150" cy="77152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ESPSAACFNI\Desktop\Branding\Logo-symbol\Symbol_White_RGB_(2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5C67E" id="Rectangle 1" o:spid="_x0000_s1027" style="position:absolute;left:0;text-align:left;margin-left:-3.45pt;margin-top:-34.55pt;width:493.2pt;height:8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" fillcolor="#0070c0" stroked="f">
                <v:textbox>
                  <w:txbxContent>
                    <w:p w14:paraId="46BA120C" w14:textId="77777777" w:rsidR="00DD6271" w:rsidRPr="008B6610" w:rsidRDefault="00DD6271" w:rsidP="00C6764E">
                      <w:pPr>
                        <w:spacing w:after="0"/>
                        <w:jc w:val="both"/>
                        <w:rPr>
                          <w:rFonts w:ascii="Futura LT Pro Book" w:hAnsi="Futura LT Pro Book" w:cstheme="minorHAnsi"/>
                          <w:color w:val="FFFFFF" w:themeColor="background1"/>
                          <w:sz w:val="16"/>
                          <w:szCs w:val="32"/>
                        </w:rPr>
                      </w:pPr>
                      <w:r w:rsidRPr="00901F65">
                        <w:rPr>
                          <w:rFonts w:ascii="Futura LT Pro Book" w:hAnsi="Futura LT Pro Book" w:cstheme="minorHAnsi"/>
                          <w:noProof/>
                          <w:color w:val="FFFFFF" w:themeColor="background1"/>
                          <w:sz w:val="16"/>
                          <w:szCs w:val="32"/>
                          <w:lang w:eastAsia="fr-FR"/>
                        </w:rPr>
                        <w:drawing>
                          <wp:inline distT="0" distB="0" distL="0" distR="0" wp14:anchorId="703C33E8" wp14:editId="50A03381">
                            <wp:extent cx="438150" cy="771525"/>
                            <wp:effectExtent l="0" t="0" r="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ESPSAACFNI\Desktop\Branding\Logo-symbol\Symbol_White_RGB_(2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901F65">
        <w:rPr>
          <w:rFonts w:cstheme="minorHAnsi"/>
          <w:b/>
          <w:noProof/>
          <w:lang w:eastAsia="fr-FR"/>
        </w:rPr>
        <w:drawing>
          <wp:inline distT="0" distB="0" distL="0" distR="0" wp14:anchorId="60ECE017" wp14:editId="7A5DBE06">
            <wp:extent cx="438150" cy="7715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PSAACFNI\Desktop\Branding\Logo-symbol\Symbol_White_RGB_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A49B7" w14:textId="581A445E" w:rsidR="00C6764E" w:rsidRDefault="00C6764E" w:rsidP="00C6764E">
      <w:pPr>
        <w:spacing w:after="0"/>
        <w:rPr>
          <w:b/>
        </w:rPr>
      </w:pPr>
    </w:p>
    <w:p w14:paraId="6F6259F1" w14:textId="77777777" w:rsidR="00C6764E" w:rsidRDefault="00C6764E" w:rsidP="008D417E">
      <w:pPr>
        <w:spacing w:after="0"/>
        <w:jc w:val="center"/>
        <w:rPr>
          <w:b/>
        </w:rPr>
      </w:pPr>
    </w:p>
    <w:p w14:paraId="50794204" w14:textId="6B2A7D6A" w:rsidR="00442997" w:rsidRPr="00C6764E" w:rsidRDefault="00C6764E" w:rsidP="001555EA">
      <w:pPr>
        <w:spacing w:after="0"/>
        <w:jc w:val="both"/>
        <w:rPr>
          <w:b/>
          <w:color w:val="0070C0"/>
          <w:sz w:val="24"/>
          <w:szCs w:val="24"/>
        </w:rPr>
      </w:pPr>
      <w:r w:rsidRPr="00C6764E">
        <w:rPr>
          <w:b/>
          <w:color w:val="0070C0"/>
          <w:sz w:val="24"/>
          <w:szCs w:val="24"/>
        </w:rPr>
        <w:t xml:space="preserve">I - </w:t>
      </w:r>
      <w:r w:rsidR="00442997" w:rsidRPr="00C6764E">
        <w:rPr>
          <w:b/>
          <w:color w:val="0070C0"/>
          <w:sz w:val="24"/>
          <w:szCs w:val="24"/>
        </w:rPr>
        <w:t>Contexte</w:t>
      </w:r>
    </w:p>
    <w:p w14:paraId="56E66845" w14:textId="3AA646F8" w:rsidR="00442997" w:rsidRDefault="00442997" w:rsidP="001555EA">
      <w:pPr>
        <w:spacing w:after="0"/>
        <w:jc w:val="both"/>
        <w:rPr>
          <w:b/>
        </w:rPr>
      </w:pPr>
    </w:p>
    <w:p w14:paraId="7A2B351E" w14:textId="2B18CC3A" w:rsidR="00C6764E" w:rsidRPr="00C6764E" w:rsidRDefault="00C6764E" w:rsidP="004C234B">
      <w:pPr>
        <w:autoSpaceDN w:val="0"/>
        <w:spacing w:after="0" w:line="242" w:lineRule="auto"/>
        <w:jc w:val="both"/>
        <w:textAlignment w:val="baseline"/>
        <w:rPr>
          <w:rFonts w:eastAsia="Times New Roman"/>
          <w:b/>
        </w:rPr>
      </w:pPr>
      <w:r>
        <w:rPr>
          <w:rFonts w:eastAsia="Times New Roman"/>
          <w:b/>
        </w:rPr>
        <w:t>Situation</w:t>
      </w:r>
    </w:p>
    <w:p w14:paraId="64ABC92B" w14:textId="77777777" w:rsidR="00906514" w:rsidRDefault="00906514" w:rsidP="00906514">
      <w:pPr>
        <w:autoSpaceDN w:val="0"/>
        <w:spacing w:after="0" w:line="242" w:lineRule="auto"/>
        <w:jc w:val="both"/>
        <w:textAlignment w:val="baseline"/>
        <w:rPr>
          <w:rFonts w:eastAsia="Times New Roman"/>
        </w:rPr>
      </w:pPr>
    </w:p>
    <w:p w14:paraId="7D67DC11" w14:textId="3F73F2DB" w:rsidR="004C234B" w:rsidRDefault="00906514" w:rsidP="002E7F94">
      <w:pPr>
        <w:autoSpaceDN w:val="0"/>
        <w:spacing w:after="0" w:line="242" w:lineRule="auto"/>
        <w:jc w:val="both"/>
        <w:textAlignment w:val="baseline"/>
        <w:rPr>
          <w:rFonts w:cs="Arial"/>
        </w:rPr>
      </w:pPr>
      <w:r w:rsidRPr="004C234B">
        <w:rPr>
          <w:rFonts w:eastAsia="Times New Roman"/>
        </w:rPr>
        <w:t xml:space="preserve">La situation humanitaire à Diffa a une nature complexe caractérisée par la combinaison de défis tant structurels que conjoncturels. </w:t>
      </w:r>
      <w:r w:rsidR="004C234B" w:rsidRPr="004C234B">
        <w:rPr>
          <w:rFonts w:eastAsia="Times New Roman"/>
        </w:rPr>
        <w:t xml:space="preserve">La région de Diffa est l’une des plus affectées par l’insuffisance des services sociaux de base et le </w:t>
      </w:r>
      <w:r w:rsidR="004C234B" w:rsidRPr="004C234B">
        <w:rPr>
          <w:rFonts w:cstheme="minorHAnsi"/>
        </w:rPr>
        <w:t>manque</w:t>
      </w:r>
      <w:r w:rsidR="004C234B" w:rsidRPr="00E61CC2">
        <w:rPr>
          <w:rFonts w:cstheme="minorHAnsi"/>
        </w:rPr>
        <w:t xml:space="preserve"> d’infrastructures. La région présente une vulnérabilité environnementale, des taux de chômage élevés, notamment chez les jeunes et </w:t>
      </w:r>
      <w:r w:rsidR="004C234B" w:rsidRPr="00E61CC2">
        <w:rPr>
          <w:rFonts w:eastAsia="Times New Roman"/>
        </w:rPr>
        <w:t>fait également face à des épisodes d’épidémies chroniques.</w:t>
      </w:r>
      <w:r w:rsidR="004C234B">
        <w:rPr>
          <w:rFonts w:eastAsia="Times New Roman"/>
        </w:rPr>
        <w:t xml:space="preserve"> </w:t>
      </w:r>
      <w:r w:rsidR="004C234B" w:rsidRPr="00231D40">
        <w:rPr>
          <w:rFonts w:eastAsia="Times New Roman"/>
        </w:rPr>
        <w:t xml:space="preserve">La région est particulièrement touchée par l’insécurité alimentaire. </w:t>
      </w:r>
      <w:r w:rsidR="004C234B" w:rsidRPr="00E61CC2">
        <w:rPr>
          <w:rFonts w:eastAsia="Times New Roman"/>
        </w:rPr>
        <w:t>A cela, il faut ajouter les conséquences humanitaires de la crise sécuritaire</w:t>
      </w:r>
      <w:r w:rsidR="004C234B">
        <w:rPr>
          <w:rFonts w:eastAsia="Times New Roman"/>
        </w:rPr>
        <w:t xml:space="preserve"> qui se traduit notamment par u</w:t>
      </w:r>
      <w:r w:rsidR="004C234B" w:rsidRPr="00231D40">
        <w:rPr>
          <w:rFonts w:cs="Arial"/>
        </w:rPr>
        <w:t>n afflux majeur de population</w:t>
      </w:r>
      <w:r w:rsidR="004C234B">
        <w:rPr>
          <w:rFonts w:cs="Arial"/>
        </w:rPr>
        <w:t>.</w:t>
      </w:r>
      <w:r w:rsidR="00E34A43">
        <w:rPr>
          <w:rFonts w:cs="Arial"/>
        </w:rPr>
        <w:t xml:space="preserve"> </w:t>
      </w:r>
    </w:p>
    <w:p w14:paraId="2ED59932" w14:textId="7D255E15" w:rsidR="00414D87" w:rsidRDefault="00414D87" w:rsidP="00414D87">
      <w:pPr>
        <w:autoSpaceDE w:val="0"/>
        <w:autoSpaceDN w:val="0"/>
        <w:adjustRightInd w:val="0"/>
        <w:spacing w:after="38" w:line="240" w:lineRule="auto"/>
        <w:jc w:val="both"/>
      </w:pPr>
    </w:p>
    <w:p w14:paraId="24C08564" w14:textId="66DA995D" w:rsidR="00C07BE5" w:rsidRPr="00C07BE5" w:rsidRDefault="004F2D9F" w:rsidP="00C07BE5">
      <w:pPr>
        <w:autoSpaceDE w:val="0"/>
        <w:autoSpaceDN w:val="0"/>
        <w:adjustRightInd w:val="0"/>
        <w:spacing w:after="0" w:line="240" w:lineRule="auto"/>
        <w:jc w:val="both"/>
      </w:pPr>
      <w:r>
        <w:t xml:space="preserve">Si le constat est celui d’une amélioration générale de la coordination humanitaire dans la zone, la réponse reste insuffisante. </w:t>
      </w:r>
      <w:r w:rsidR="00C07BE5">
        <w:t>D’une part, tel que souligné par l</w:t>
      </w:r>
      <w:r w:rsidR="00C07BE5" w:rsidRPr="00C07BE5">
        <w:rPr>
          <w:rFonts w:cs="MinionPro-Regular"/>
        </w:rPr>
        <w:t>e HRP</w:t>
      </w:r>
      <w:r w:rsidR="00C07BE5">
        <w:rPr>
          <w:rFonts w:cs="MinionPro-Regular"/>
        </w:rPr>
        <w:t xml:space="preserve"> 2017, il est nécessaire d</w:t>
      </w:r>
      <w:proofErr w:type="gramStart"/>
      <w:r w:rsidR="00C07BE5">
        <w:rPr>
          <w:rFonts w:cs="MinionPro-Regular"/>
        </w:rPr>
        <w:t>’</w:t>
      </w:r>
      <w:r w:rsidR="00C07BE5" w:rsidRPr="00C07BE5">
        <w:rPr>
          <w:rFonts w:cs="MinionPro-Regular"/>
        </w:rPr>
        <w:t>«</w:t>
      </w:r>
      <w:proofErr w:type="gramEnd"/>
      <w:r w:rsidR="00C07BE5" w:rsidRPr="00C07BE5">
        <w:rPr>
          <w:rFonts w:cs="MinionPro-Regular"/>
        </w:rPr>
        <w:t> assurer une meilleure gestion et coordination de la réponse et des gaps des secteurs concernés et d’améliorer la gestion efficiente des opérations par les acteurs, y inclus assurer une présence géographique appropriée des acteurs, en fonction des priorités et des besoins »</w:t>
      </w:r>
      <w:r w:rsidR="00C07BE5">
        <w:rPr>
          <w:rFonts w:cs="MinionPro-Regular"/>
        </w:rPr>
        <w:t>.</w:t>
      </w:r>
    </w:p>
    <w:p w14:paraId="0FF4F0A9" w14:textId="2A737FBC" w:rsidR="00E55606" w:rsidRDefault="00E55606" w:rsidP="00E55606">
      <w:pPr>
        <w:autoSpaceDE w:val="0"/>
        <w:autoSpaceDN w:val="0"/>
        <w:adjustRightInd w:val="0"/>
        <w:spacing w:after="38" w:line="240" w:lineRule="auto"/>
        <w:jc w:val="both"/>
        <w:rPr>
          <w:color w:val="000000"/>
        </w:rPr>
      </w:pPr>
      <w:r>
        <w:t>La réponse</w:t>
      </w:r>
      <w:r w:rsidR="001D6614">
        <w:t xml:space="preserve"> </w:t>
      </w:r>
      <w:r>
        <w:t xml:space="preserve">institutionnelle peine à se mettre en place, pour les raisons suivantes, telles que relevées par le Ministère de l’Action Humanitaire et de la Gestion des Crises : </w:t>
      </w:r>
      <w:r w:rsidRPr="00A548D9">
        <w:t>représentativité institutionnelle insuffisante car ne prévoyant pas des services déconcentrés en régions et sous-régions</w:t>
      </w:r>
      <w:r>
        <w:t xml:space="preserve"> ; </w:t>
      </w:r>
      <w:r w:rsidRPr="00815A4C">
        <w:rPr>
          <w:color w:val="000000"/>
        </w:rPr>
        <w:t>faible capacité des institutions en charge de coordination de l’action humanitaire</w:t>
      </w:r>
      <w:r>
        <w:rPr>
          <w:color w:val="000000"/>
        </w:rPr>
        <w:t xml:space="preserve"> ; </w:t>
      </w:r>
      <w:r w:rsidRPr="00815A4C">
        <w:rPr>
          <w:color w:val="000000"/>
        </w:rPr>
        <w:t>faible leadership en matière de coordination humanitaire</w:t>
      </w:r>
      <w:r>
        <w:rPr>
          <w:color w:val="000000"/>
        </w:rPr>
        <w:t xml:space="preserve"> ; </w:t>
      </w:r>
      <w:r w:rsidRPr="00851354">
        <w:rPr>
          <w:color w:val="000000"/>
        </w:rPr>
        <w:t>pluralité institutionnelle manifeste dans des sit</w:t>
      </w:r>
      <w:r>
        <w:rPr>
          <w:color w:val="000000"/>
        </w:rPr>
        <w:t>uations d’urgences humanitaires.</w:t>
      </w:r>
    </w:p>
    <w:p w14:paraId="463C6425" w14:textId="033F2E1E" w:rsidR="007A627D" w:rsidRDefault="007A627D" w:rsidP="00E55606">
      <w:pPr>
        <w:autoSpaceDE w:val="0"/>
        <w:autoSpaceDN w:val="0"/>
        <w:adjustRightInd w:val="0"/>
        <w:spacing w:after="38" w:line="240" w:lineRule="auto"/>
        <w:jc w:val="both"/>
        <w:rPr>
          <w:color w:val="000000"/>
        </w:rPr>
      </w:pPr>
    </w:p>
    <w:p w14:paraId="1D973667" w14:textId="2C939A9B" w:rsidR="009A63FF" w:rsidRDefault="001D6614" w:rsidP="00312E25">
      <w:pPr>
        <w:autoSpaceDE w:val="0"/>
        <w:autoSpaceDN w:val="0"/>
        <w:adjustRightInd w:val="0"/>
        <w:spacing w:after="38" w:line="240" w:lineRule="auto"/>
        <w:jc w:val="both"/>
      </w:pPr>
      <w:r>
        <w:t>Toutefois, d</w:t>
      </w:r>
      <w:r w:rsidR="00B271A0">
        <w:t>e nouvelles dynamiques d’intervention sont à l’œuvre dans la région,</w:t>
      </w:r>
      <w:r w:rsidR="004B55FD">
        <w:t xml:space="preserve"> qui fait l’objet d’une attention croissante. A ce titre, il convient de relever</w:t>
      </w:r>
      <w:r w:rsidR="00B271A0">
        <w:t xml:space="preserve"> notamment le d</w:t>
      </w:r>
      <w:r w:rsidR="009A63FF">
        <w:t>éveloppement d’</w:t>
      </w:r>
      <w:r w:rsidR="00B271A0">
        <w:t xml:space="preserve">une </w:t>
      </w:r>
      <w:r w:rsidR="009A63FF">
        <w:t>approche Urgence-Développement. En témoigne</w:t>
      </w:r>
      <w:r w:rsidR="004B55FD">
        <w:t>nt</w:t>
      </w:r>
      <w:r w:rsidR="009A63FF">
        <w:t xml:space="preserve"> par exemple</w:t>
      </w:r>
      <w:r w:rsidR="00B271A0">
        <w:t xml:space="preserve"> la</w:t>
      </w:r>
      <w:r w:rsidR="00312E25">
        <w:t xml:space="preserve"> désignation</w:t>
      </w:r>
      <w:r w:rsidR="00B271A0">
        <w:t xml:space="preserve"> par l’Union Européenne</w:t>
      </w:r>
      <w:r w:rsidR="00312E25">
        <w:t xml:space="preserve"> du Niger comme pays pilote sur le nexus humanitaire-développement</w:t>
      </w:r>
      <w:r w:rsidR="004B55FD">
        <w:t>, les programmes lancés par la Banque Mondiale ou l’Agence Française de Développement</w:t>
      </w:r>
      <w:r w:rsidR="00B271A0">
        <w:t>.</w:t>
      </w:r>
      <w:r w:rsidR="004B55FD">
        <w:t xml:space="preserve"> </w:t>
      </w:r>
    </w:p>
    <w:p w14:paraId="243EE906" w14:textId="77777777" w:rsidR="00E55606" w:rsidRDefault="00E55606" w:rsidP="003E33E0">
      <w:pPr>
        <w:autoSpaceDE w:val="0"/>
        <w:autoSpaceDN w:val="0"/>
        <w:adjustRightInd w:val="0"/>
        <w:spacing w:after="38" w:line="240" w:lineRule="auto"/>
        <w:jc w:val="both"/>
        <w:rPr>
          <w:color w:val="000000"/>
        </w:rPr>
      </w:pPr>
    </w:p>
    <w:p w14:paraId="1A597AE2" w14:textId="6F79870D" w:rsidR="003E33E0" w:rsidRDefault="003E33E0" w:rsidP="003E33E0">
      <w:pPr>
        <w:autoSpaceDE w:val="0"/>
        <w:autoSpaceDN w:val="0"/>
        <w:adjustRightInd w:val="0"/>
        <w:spacing w:after="38" w:line="240" w:lineRule="auto"/>
        <w:jc w:val="both"/>
      </w:pPr>
      <w:r>
        <w:t>Si ces évolutions vont dans le sens d’une meilleure réponse, il apparaît indispensable de renforcer ces mécanismes afin de garantir une meilleure couverture des besoins de la population de Diffa.</w:t>
      </w:r>
    </w:p>
    <w:p w14:paraId="2BBDC6C9" w14:textId="2F1572C6" w:rsidR="00F53A1A" w:rsidRDefault="00F53A1A" w:rsidP="00414D87">
      <w:pPr>
        <w:autoSpaceDE w:val="0"/>
        <w:autoSpaceDN w:val="0"/>
        <w:adjustRightInd w:val="0"/>
        <w:spacing w:after="38" w:line="240" w:lineRule="auto"/>
        <w:jc w:val="both"/>
      </w:pPr>
    </w:p>
    <w:p w14:paraId="54F80516" w14:textId="77777777" w:rsidR="00442997" w:rsidRPr="008D417E" w:rsidRDefault="00442997" w:rsidP="001555EA">
      <w:pPr>
        <w:spacing w:after="0"/>
        <w:jc w:val="both"/>
        <w:rPr>
          <w:b/>
        </w:rPr>
      </w:pPr>
      <w:r w:rsidRPr="008D417E">
        <w:rPr>
          <w:b/>
        </w:rPr>
        <w:t>Justification</w:t>
      </w:r>
    </w:p>
    <w:p w14:paraId="49E7F87B" w14:textId="77777777" w:rsidR="00442997" w:rsidRPr="008D417E" w:rsidRDefault="00442997" w:rsidP="001555EA">
      <w:pPr>
        <w:spacing w:after="0"/>
        <w:jc w:val="both"/>
        <w:rPr>
          <w:b/>
        </w:rPr>
      </w:pPr>
    </w:p>
    <w:p w14:paraId="7E5FAE22" w14:textId="4F41EAAD" w:rsidR="0054311C" w:rsidRPr="00E75EA2" w:rsidRDefault="001555EA" w:rsidP="0054311C">
      <w:pPr>
        <w:spacing w:after="0"/>
        <w:jc w:val="both"/>
      </w:pPr>
      <w:r>
        <w:t xml:space="preserve">Action Contre la Faim est un acteur humanitaire majeur au Niger. Présente depuis 1997, elle intervient dans la région de Diffa depuis 2015. Elle </w:t>
      </w:r>
      <w:r w:rsidR="0054311C" w:rsidRPr="00E75EA2">
        <w:t xml:space="preserve">intervient auprès des populations déplacées, réfugiées, retournées et hôtes. Action contre la Faim répond à l’urgence humanitaire par des interventions en santé/nutrition, en eau, hygiène et assainissement (WASH) et en sécurité alimentaire, ainsi que par le rétablissement des moyens d’existence des populations affectées.  </w:t>
      </w:r>
    </w:p>
    <w:p w14:paraId="6F06D220" w14:textId="40C573AF" w:rsidR="0054311C" w:rsidRPr="0054311C" w:rsidRDefault="001555EA" w:rsidP="0054311C">
      <w:pPr>
        <w:spacing w:after="0"/>
        <w:jc w:val="both"/>
      </w:pPr>
      <w:r w:rsidRPr="0054311C">
        <w:t xml:space="preserve">En vertu de sa stratégie internationale, Action Contre la Faim travaille à une meilleure couverture des besoins humanitaires. A ce titre, elle renforce ses programmes opérationnels par </w:t>
      </w:r>
      <w:r w:rsidR="0054311C" w:rsidRPr="0054311C">
        <w:t xml:space="preserve">des actions de </w:t>
      </w:r>
      <w:r w:rsidR="0054311C" w:rsidRPr="0054311C">
        <w:lastRenderedPageBreak/>
        <w:t>plaidoyer aux niveaux national et</w:t>
      </w:r>
      <w:r w:rsidR="00782190">
        <w:t xml:space="preserve"> locaux</w:t>
      </w:r>
      <w:r w:rsidR="008C2613">
        <w:t xml:space="preserve"> </w:t>
      </w:r>
      <w:r w:rsidR="0054311C" w:rsidRPr="0054311C">
        <w:t xml:space="preserve">afin </w:t>
      </w:r>
      <w:r w:rsidR="00942408">
        <w:t xml:space="preserve">de </w:t>
      </w:r>
      <w:r w:rsidR="0054311C" w:rsidRPr="0054311C">
        <w:t>provoquer des changements durables en termes de politiques, de pratiques et de capacités d’intervention.</w:t>
      </w:r>
    </w:p>
    <w:p w14:paraId="7D953193" w14:textId="3CF69E0D" w:rsidR="006974C1" w:rsidRDefault="00F5768D" w:rsidP="001555EA">
      <w:pPr>
        <w:spacing w:after="0"/>
        <w:jc w:val="both"/>
      </w:pPr>
      <w:r>
        <w:t xml:space="preserve">Si le Réseau International </w:t>
      </w:r>
      <w:r w:rsidR="00442997">
        <w:t xml:space="preserve">Action Contre la Faim </w:t>
      </w:r>
      <w:r>
        <w:t xml:space="preserve">conduit un plaidoyer international sur la région du Bassin Lac Tchad, la Mission Niger </w:t>
      </w:r>
      <w:r w:rsidR="00442997">
        <w:t>entend développer son plaidoyer humanitaire</w:t>
      </w:r>
      <w:r>
        <w:t xml:space="preserve"> au niveau national</w:t>
      </w:r>
      <w:r w:rsidR="00442997">
        <w:t>.</w:t>
      </w:r>
      <w:r w:rsidR="008D417E">
        <w:t xml:space="preserve"> </w:t>
      </w:r>
      <w:r w:rsidR="0054311C">
        <w:t>Alors que le plaidoyer humanitaire est à un stade très liminaire au Niger, la mission</w:t>
      </w:r>
      <w:r w:rsidR="008D417E">
        <w:t xml:space="preserve"> a élaboré les grandes lignes de son positionnement</w:t>
      </w:r>
      <w:r w:rsidR="0054311C">
        <w:t>. Toutefois, elle</w:t>
      </w:r>
      <w:r w:rsidR="006974C1">
        <w:t xml:space="preserve"> dispose </w:t>
      </w:r>
      <w:r>
        <w:t>d’</w:t>
      </w:r>
      <w:r w:rsidR="006974C1">
        <w:t>une expertise insuffisante sur la situation spécifique à Diffa.</w:t>
      </w:r>
      <w:r w:rsidR="00EC49CE">
        <w:t xml:space="preserve"> </w:t>
      </w:r>
      <w:r w:rsidR="006A69AE">
        <w:t>Dans cette perspective</w:t>
      </w:r>
      <w:r w:rsidR="00EC49CE">
        <w:t>, Action Contre la Faim Niger</w:t>
      </w:r>
      <w:r w:rsidR="006A69AE">
        <w:t xml:space="preserve"> recrute un consultant.</w:t>
      </w:r>
    </w:p>
    <w:p w14:paraId="36E22605" w14:textId="2635C626" w:rsidR="00C6764E" w:rsidRDefault="00C6764E" w:rsidP="001555EA">
      <w:pPr>
        <w:spacing w:after="0"/>
        <w:jc w:val="both"/>
      </w:pPr>
    </w:p>
    <w:p w14:paraId="04226E34" w14:textId="30CE2BE9" w:rsidR="004C234B" w:rsidRPr="00C6764E" w:rsidRDefault="00C6764E" w:rsidP="001555EA">
      <w:pPr>
        <w:spacing w:after="0"/>
        <w:jc w:val="both"/>
        <w:rPr>
          <w:b/>
          <w:color w:val="0070C0"/>
          <w:sz w:val="24"/>
          <w:szCs w:val="24"/>
        </w:rPr>
      </w:pPr>
      <w:r w:rsidRPr="00C6764E">
        <w:rPr>
          <w:b/>
          <w:color w:val="0070C0"/>
          <w:sz w:val="24"/>
          <w:szCs w:val="24"/>
        </w:rPr>
        <w:t xml:space="preserve">II - </w:t>
      </w:r>
      <w:r w:rsidR="004C234B" w:rsidRPr="00C6764E">
        <w:rPr>
          <w:b/>
          <w:color w:val="0070C0"/>
          <w:sz w:val="24"/>
          <w:szCs w:val="24"/>
        </w:rPr>
        <w:t>Résultats attendus</w:t>
      </w:r>
    </w:p>
    <w:p w14:paraId="368242B6" w14:textId="77777777" w:rsidR="004C234B" w:rsidRDefault="004C234B" w:rsidP="001555EA">
      <w:pPr>
        <w:spacing w:after="0"/>
        <w:jc w:val="both"/>
      </w:pPr>
    </w:p>
    <w:p w14:paraId="0F102528" w14:textId="5A9A1BCF" w:rsidR="00AE2FBF" w:rsidRDefault="006A69AE" w:rsidP="001555EA">
      <w:pPr>
        <w:spacing w:after="0"/>
        <w:jc w:val="both"/>
        <w:rPr>
          <w:rFonts w:ascii="Lato Medium" w:hAnsi="Lato Medium"/>
        </w:rPr>
      </w:pPr>
      <w:r>
        <w:t xml:space="preserve">Il est attendu du consultant </w:t>
      </w:r>
      <w:r w:rsidR="0054311C">
        <w:t xml:space="preserve">qu’il </w:t>
      </w:r>
      <w:r w:rsidR="00551D25">
        <w:rPr>
          <w:rFonts w:ascii="Lato Medium" w:hAnsi="Lato Medium"/>
          <w:b/>
        </w:rPr>
        <w:t>f</w:t>
      </w:r>
      <w:r w:rsidR="00AE2FBF" w:rsidRPr="00551D25">
        <w:rPr>
          <w:rFonts w:ascii="Lato Medium" w:hAnsi="Lato Medium"/>
          <w:b/>
        </w:rPr>
        <w:t>ourni</w:t>
      </w:r>
      <w:r w:rsidR="0054311C">
        <w:rPr>
          <w:rFonts w:ascii="Lato Medium" w:hAnsi="Lato Medium"/>
          <w:b/>
        </w:rPr>
        <w:t xml:space="preserve">sse </w:t>
      </w:r>
      <w:r w:rsidR="00AE2FBF" w:rsidRPr="00551D25">
        <w:rPr>
          <w:rFonts w:ascii="Lato Medium" w:hAnsi="Lato Medium"/>
          <w:b/>
        </w:rPr>
        <w:t>un d</w:t>
      </w:r>
      <w:r w:rsidR="00AB2CD1" w:rsidRPr="00551D25">
        <w:rPr>
          <w:rFonts w:ascii="Lato Medium" w:hAnsi="Lato Medium"/>
          <w:b/>
        </w:rPr>
        <w:t xml:space="preserve">iagnostic sur les défis </w:t>
      </w:r>
      <w:r w:rsidR="00E34A43" w:rsidRPr="00551D25">
        <w:rPr>
          <w:rFonts w:ascii="Lato Medium" w:hAnsi="Lato Medium"/>
          <w:b/>
        </w:rPr>
        <w:t xml:space="preserve">inhérents à la réponse </w:t>
      </w:r>
      <w:r w:rsidR="00AB2CD1" w:rsidRPr="00551D25">
        <w:rPr>
          <w:rFonts w:ascii="Lato Medium" w:hAnsi="Lato Medium"/>
          <w:b/>
        </w:rPr>
        <w:t>humanitaire</w:t>
      </w:r>
      <w:r w:rsidR="00E34A43" w:rsidRPr="00551D25">
        <w:rPr>
          <w:rFonts w:ascii="Lato Medium" w:hAnsi="Lato Medium"/>
          <w:b/>
        </w:rPr>
        <w:t xml:space="preserve"> à</w:t>
      </w:r>
      <w:r w:rsidR="00AB2CD1" w:rsidRPr="00551D25">
        <w:rPr>
          <w:rFonts w:ascii="Lato Medium" w:hAnsi="Lato Medium"/>
          <w:b/>
        </w:rPr>
        <w:t xml:space="preserve"> Diffa </w:t>
      </w:r>
      <w:r w:rsidR="00AE2FBF" w:rsidRPr="00551D25">
        <w:rPr>
          <w:rFonts w:ascii="Lato Medium" w:hAnsi="Lato Medium"/>
          <w:b/>
        </w:rPr>
        <w:t>permettant d’alimenter le plaidoyer de la Mission Niger</w:t>
      </w:r>
      <w:r w:rsidR="00AE2FBF">
        <w:rPr>
          <w:rFonts w:ascii="Lato Medium" w:hAnsi="Lato Medium"/>
        </w:rPr>
        <w:t>.</w:t>
      </w:r>
    </w:p>
    <w:p w14:paraId="28786FB7" w14:textId="2F627A60" w:rsidR="006974C1" w:rsidRDefault="006974C1" w:rsidP="001555EA">
      <w:pPr>
        <w:spacing w:after="0"/>
        <w:jc w:val="both"/>
      </w:pPr>
    </w:p>
    <w:p w14:paraId="774189C9" w14:textId="1CAB009B" w:rsidR="00B4795D" w:rsidRDefault="00D36588" w:rsidP="001555EA">
      <w:pPr>
        <w:spacing w:after="0"/>
        <w:jc w:val="both"/>
      </w:pPr>
      <w:r>
        <w:t>E</w:t>
      </w:r>
      <w:r w:rsidR="006974C1">
        <w:t xml:space="preserve">n amont de </w:t>
      </w:r>
      <w:r w:rsidR="00063D3B">
        <w:t>l</w:t>
      </w:r>
      <w:r w:rsidR="00E34A43">
        <w:t>a</w:t>
      </w:r>
      <w:r w:rsidR="006974C1">
        <w:t xml:space="preserve"> participation d’Action Contre la Faim </w:t>
      </w:r>
      <w:r w:rsidR="00B4795D">
        <w:t>à divers processus stratégiques et politiques,</w:t>
      </w:r>
      <w:r w:rsidR="00551D25">
        <w:t xml:space="preserve"> c</w:t>
      </w:r>
      <w:r>
        <w:t>ette consultance permettra de c</w:t>
      </w:r>
      <w:r w:rsidR="004C234B">
        <w:t xml:space="preserve">ollecter </w:t>
      </w:r>
      <w:r w:rsidR="00551D25">
        <w:t xml:space="preserve">et d’exploiter les </w:t>
      </w:r>
      <w:r w:rsidR="004C234B">
        <w:t xml:space="preserve">informations </w:t>
      </w:r>
      <w:r w:rsidR="00551D25">
        <w:t>nécessaire</w:t>
      </w:r>
      <w:r w:rsidR="004C234B">
        <w:t>s</w:t>
      </w:r>
      <w:r w:rsidR="009A63FF">
        <w:t xml:space="preserve">. </w:t>
      </w:r>
      <w:r w:rsidR="00B4795D">
        <w:t>Il s’agira d’une analyse qua</w:t>
      </w:r>
      <w:r w:rsidR="00B32D59">
        <w:t>lita</w:t>
      </w:r>
      <w:r w:rsidR="00B4795D">
        <w:t xml:space="preserve">tive visant à mieux identifiés les insuffisances de la réponse. </w:t>
      </w:r>
    </w:p>
    <w:p w14:paraId="48100243" w14:textId="206CF386" w:rsidR="00C6764E" w:rsidRDefault="009A63FF" w:rsidP="001555EA">
      <w:pPr>
        <w:spacing w:after="0"/>
        <w:jc w:val="both"/>
      </w:pPr>
      <w:r>
        <w:t xml:space="preserve">Les résultats permettront d’orienter et de nourrir </w:t>
      </w:r>
      <w:r w:rsidR="004C234B">
        <w:t xml:space="preserve">les thèmes </w:t>
      </w:r>
      <w:r w:rsidR="00551D25">
        <w:t xml:space="preserve">de plaidoyer </w:t>
      </w:r>
      <w:r>
        <w:t xml:space="preserve">de la Mission Niger. Ils contribueront à définir les mécanismes de réponse les </w:t>
      </w:r>
      <w:r w:rsidR="00424A20">
        <w:t>plus</w:t>
      </w:r>
      <w:r>
        <w:t xml:space="preserve"> adaptés à la situation</w:t>
      </w:r>
      <w:r w:rsidR="00312E25">
        <w:t>, notamment les mécanismes de coordination</w:t>
      </w:r>
      <w:r>
        <w:t>.</w:t>
      </w:r>
    </w:p>
    <w:p w14:paraId="47DA71FA" w14:textId="77777777" w:rsidR="00D36588" w:rsidRDefault="00D36588" w:rsidP="001555EA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C6764E" w14:paraId="0EA2EF40" w14:textId="77777777" w:rsidTr="00C6764E">
        <w:tc>
          <w:tcPr>
            <w:tcW w:w="1413" w:type="dxa"/>
          </w:tcPr>
          <w:p w14:paraId="2FC5A735" w14:textId="1D6215A4" w:rsidR="00C6764E" w:rsidRPr="00551D25" w:rsidRDefault="00551D25" w:rsidP="001555EA">
            <w:pPr>
              <w:jc w:val="both"/>
              <w:rPr>
                <w:i/>
              </w:rPr>
            </w:pPr>
            <w:r w:rsidRPr="00551D25">
              <w:rPr>
                <w:i/>
              </w:rPr>
              <w:t xml:space="preserve">Thèmes </w:t>
            </w:r>
          </w:p>
        </w:tc>
        <w:tc>
          <w:tcPr>
            <w:tcW w:w="7649" w:type="dxa"/>
          </w:tcPr>
          <w:p w14:paraId="4CAC721F" w14:textId="2D21ABCD" w:rsidR="00C6764E" w:rsidRPr="00551D25" w:rsidRDefault="00551D25" w:rsidP="001555EA">
            <w:pPr>
              <w:jc w:val="both"/>
              <w:rPr>
                <w:i/>
              </w:rPr>
            </w:pPr>
            <w:r w:rsidRPr="00551D25">
              <w:rPr>
                <w:i/>
              </w:rPr>
              <w:t>Questions</w:t>
            </w:r>
          </w:p>
        </w:tc>
      </w:tr>
      <w:tr w:rsidR="00C6764E" w14:paraId="4C57C9BC" w14:textId="77777777" w:rsidTr="00C6764E">
        <w:tc>
          <w:tcPr>
            <w:tcW w:w="1413" w:type="dxa"/>
          </w:tcPr>
          <w:p w14:paraId="1BC11184" w14:textId="601F39E5" w:rsidR="00C6764E" w:rsidRDefault="00F77684" w:rsidP="00F77684">
            <w:pPr>
              <w:jc w:val="both"/>
            </w:pPr>
            <w:r>
              <w:t>Coordination</w:t>
            </w:r>
            <w:r w:rsidR="00C6764E">
              <w:t xml:space="preserve"> </w:t>
            </w:r>
            <w:r>
              <w:t>entre</w:t>
            </w:r>
            <w:r w:rsidR="00C6764E">
              <w:t xml:space="preserve"> acteurs</w:t>
            </w:r>
          </w:p>
        </w:tc>
        <w:tc>
          <w:tcPr>
            <w:tcW w:w="7649" w:type="dxa"/>
          </w:tcPr>
          <w:p w14:paraId="4E3AF6AC" w14:textId="77777777" w:rsidR="00BF4EBA" w:rsidRDefault="00BF4EBA" w:rsidP="00F77684">
            <w:pPr>
              <w:jc w:val="both"/>
            </w:pPr>
            <w:r>
              <w:t>Il s’agira d</w:t>
            </w:r>
            <w:r>
              <w:rPr>
                <w:i/>
              </w:rPr>
              <w:t>’établir une c</w:t>
            </w:r>
            <w:r w:rsidRPr="00482028">
              <w:rPr>
                <w:i/>
              </w:rPr>
              <w:t>artographie des acteurs en présence</w:t>
            </w:r>
            <w:r>
              <w:t>, ainsi que de leur positionnement, incluant :</w:t>
            </w:r>
          </w:p>
          <w:p w14:paraId="54DCC052" w14:textId="30EE4C83" w:rsidR="00F77684" w:rsidRDefault="00F77684" w:rsidP="00BF4EBA">
            <w:pPr>
              <w:pStyle w:val="Paragraphedeliste"/>
              <w:numPr>
                <w:ilvl w:val="0"/>
                <w:numId w:val="5"/>
              </w:numPr>
              <w:jc w:val="both"/>
            </w:pPr>
            <w:proofErr w:type="gramStart"/>
            <w:r>
              <w:t>l</w:t>
            </w:r>
            <w:r w:rsidR="00C6764E">
              <w:t>es</w:t>
            </w:r>
            <w:proofErr w:type="gramEnd"/>
            <w:r w:rsidR="00C6764E">
              <w:t xml:space="preserve"> acteurs </w:t>
            </w:r>
            <w:r w:rsidR="00BF4EBA">
              <w:t>i</w:t>
            </w:r>
            <w:r w:rsidR="00C6764E">
              <w:t>nstitutionnels</w:t>
            </w:r>
            <w:r w:rsidR="00312E25">
              <w:t>, incluant les services techniques déconcentrés</w:t>
            </w:r>
            <w:r w:rsidR="00BF4EBA">
              <w:t>. En ce sens, il sera attendu du consultant qu’il identifie</w:t>
            </w:r>
            <w:r>
              <w:t xml:space="preserve"> les liens entre les autorités centrales et les autorités décentralisées/services techniques déconcentrés</w:t>
            </w:r>
            <w:r w:rsidR="00BF4EBA">
              <w:t xml:space="preserve">. Un focus pourrait être mis sur </w:t>
            </w:r>
            <w:r>
              <w:t>le rôle du Ministère de l’Action Humanitai</w:t>
            </w:r>
            <w:r w:rsidR="00BF4EBA">
              <w:t>re et de la Gestion des Crises.</w:t>
            </w:r>
          </w:p>
          <w:p w14:paraId="3DD66D22" w14:textId="3890C9D8" w:rsidR="00C6764E" w:rsidRDefault="00BF4EBA" w:rsidP="0089345D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Les </w:t>
            </w:r>
            <w:r w:rsidR="00C6764E">
              <w:t>ONG pouvant constituer des alliés de plaidoyer</w:t>
            </w:r>
            <w:r w:rsidR="002D3C90">
              <w:t xml:space="preserve">. </w:t>
            </w:r>
            <w:r>
              <w:t xml:space="preserve">Une analyse du potentiel </w:t>
            </w:r>
            <w:r w:rsidR="002D3C90">
              <w:t>rô</w:t>
            </w:r>
            <w:r>
              <w:t>le de la société civile locale sera conduite.</w:t>
            </w:r>
          </w:p>
          <w:p w14:paraId="13BFC363" w14:textId="77777777" w:rsidR="00BF4EBA" w:rsidRDefault="00BF4EBA" w:rsidP="00F77684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Le </w:t>
            </w:r>
            <w:r w:rsidR="00F77684">
              <w:t xml:space="preserve">Système des </w:t>
            </w:r>
            <w:r>
              <w:t>Nations-Unies, avec une attention particulière sur la coordination des</w:t>
            </w:r>
            <w:r w:rsidR="00F77684">
              <w:t xml:space="preserve"> </w:t>
            </w:r>
            <w:r w:rsidR="00424A20">
              <w:t>divers groupes de travail</w:t>
            </w:r>
            <w:r>
              <w:t xml:space="preserve">. Une analyse des insuffisances et des forces de ce système est attendue. </w:t>
            </w:r>
          </w:p>
          <w:p w14:paraId="74DE1974" w14:textId="3CAFA516" w:rsidR="00726A74" w:rsidRDefault="00BF4EBA" w:rsidP="00BF4EBA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Des</w:t>
            </w:r>
            <w:r w:rsidR="00F77684">
              <w:t xml:space="preserve"> forces militaires en présence</w:t>
            </w:r>
            <w:r>
              <w:t xml:space="preserve">, incluant une description critique de </w:t>
            </w:r>
            <w:r w:rsidR="00F77684">
              <w:t xml:space="preserve">la coordination </w:t>
            </w:r>
            <w:proofErr w:type="spellStart"/>
            <w:r w:rsidR="00F77684">
              <w:t>civilo</w:t>
            </w:r>
            <w:proofErr w:type="spellEnd"/>
            <w:r w:rsidR="00F77684">
              <w:t>-</w:t>
            </w:r>
            <w:proofErr w:type="gramStart"/>
            <w:r w:rsidR="00F77684">
              <w:t>militaire </w:t>
            </w:r>
            <w:r>
              <w:t>.</w:t>
            </w:r>
            <w:proofErr w:type="gramEnd"/>
          </w:p>
          <w:p w14:paraId="58C9AF52" w14:textId="38FA4962" w:rsidR="00BF4EBA" w:rsidRDefault="00BF4EBA" w:rsidP="00BF4EBA">
            <w:pPr>
              <w:pStyle w:val="Paragraphedeliste"/>
              <w:ind w:left="360"/>
              <w:jc w:val="both"/>
            </w:pPr>
          </w:p>
        </w:tc>
      </w:tr>
      <w:tr w:rsidR="00C6764E" w14:paraId="36487873" w14:textId="77777777" w:rsidTr="00C6764E">
        <w:tc>
          <w:tcPr>
            <w:tcW w:w="1413" w:type="dxa"/>
          </w:tcPr>
          <w:p w14:paraId="5EE30F2E" w14:textId="00E9207A" w:rsidR="00C6764E" w:rsidRDefault="00C6764E" w:rsidP="001555EA">
            <w:pPr>
              <w:jc w:val="both"/>
            </w:pPr>
            <w:r>
              <w:t>Gestion de l’information</w:t>
            </w:r>
          </w:p>
        </w:tc>
        <w:tc>
          <w:tcPr>
            <w:tcW w:w="7649" w:type="dxa"/>
          </w:tcPr>
          <w:p w14:paraId="240E8EBC" w14:textId="0703D27E" w:rsidR="00FF085D" w:rsidRPr="00FF085D" w:rsidRDefault="00FF085D" w:rsidP="00C6764E">
            <w:pPr>
              <w:jc w:val="both"/>
            </w:pPr>
            <w:r>
              <w:t>Le constat est celui d’une insuffisance de l’information, en termes de quantité mais surtout de circulation. Sur cette thématique, le consultant se concentrera notamment sur les éléments suivants :</w:t>
            </w:r>
          </w:p>
          <w:p w14:paraId="283C7538" w14:textId="1D0AB325" w:rsidR="00C6764E" w:rsidRDefault="00C201A0" w:rsidP="00FF085D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FF085D">
              <w:rPr>
                <w:i/>
              </w:rPr>
              <w:t>Recensement </w:t>
            </w:r>
            <w:r>
              <w:t xml:space="preserve">: </w:t>
            </w:r>
            <w:r w:rsidR="005F715A">
              <w:t>notamment sur la méthodologie de</w:t>
            </w:r>
            <w:r>
              <w:t xml:space="preserve"> l’</w:t>
            </w:r>
            <w:r w:rsidR="00C6764E">
              <w:t>évaluation</w:t>
            </w:r>
            <w:r w:rsidR="005F715A">
              <w:t xml:space="preserve"> (inclusion de</w:t>
            </w:r>
            <w:r>
              <w:t>s ONG</w:t>
            </w:r>
            <w:r w:rsidR="005F715A">
              <w:t xml:space="preserve"> </w:t>
            </w:r>
            <w:r>
              <w:t>?</w:t>
            </w:r>
            <w:proofErr w:type="gramStart"/>
            <w:r w:rsidR="005F715A">
              <w:t>),  s</w:t>
            </w:r>
            <w:r>
              <w:t>es</w:t>
            </w:r>
            <w:proofErr w:type="gramEnd"/>
            <w:r>
              <w:t xml:space="preserve"> insuffisances/problèmes ? </w:t>
            </w:r>
          </w:p>
          <w:p w14:paraId="31E77D54" w14:textId="0996F722" w:rsidR="00C6764E" w:rsidRDefault="00C201A0" w:rsidP="00FF085D">
            <w:pPr>
              <w:pStyle w:val="Paragraphedeliste"/>
              <w:numPr>
                <w:ilvl w:val="0"/>
                <w:numId w:val="5"/>
              </w:numPr>
              <w:jc w:val="both"/>
            </w:pPr>
            <w:r w:rsidRPr="00FF085D">
              <w:rPr>
                <w:i/>
              </w:rPr>
              <w:t>Circulation</w:t>
            </w:r>
            <w:r>
              <w:t xml:space="preserve"> : </w:t>
            </w:r>
            <w:r w:rsidR="00FF085D">
              <w:t xml:space="preserve">analyse des </w:t>
            </w:r>
            <w:r w:rsidR="00C6764E">
              <w:t>canaux d’information </w:t>
            </w:r>
            <w:r w:rsidR="00FF085D">
              <w:t>et du</w:t>
            </w:r>
            <w:r>
              <w:t xml:space="preserve"> </w:t>
            </w:r>
            <w:r w:rsidR="00726A74">
              <w:t xml:space="preserve">fonctionnement </w:t>
            </w:r>
            <w:r w:rsidR="00FF085D">
              <w:t>de l’Information Management WG</w:t>
            </w:r>
          </w:p>
          <w:p w14:paraId="555D5CC3" w14:textId="1D3CBC9F" w:rsidR="00D51D10" w:rsidRDefault="00C201A0" w:rsidP="00FF085D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Système d’alerte</w:t>
            </w:r>
            <w:r w:rsidR="00FF085D">
              <w:t xml:space="preserve"> : </w:t>
            </w:r>
            <w:r>
              <w:t xml:space="preserve">comment le SAP fonctionne-t-il à Diffa ? Quelles sont les autorités en charge ? Existe-il un système d’alerte communautaire ? </w:t>
            </w:r>
          </w:p>
          <w:p w14:paraId="47CA4867" w14:textId="78BF1389" w:rsidR="00C201A0" w:rsidRDefault="00C201A0" w:rsidP="00C201A0">
            <w:pPr>
              <w:jc w:val="both"/>
            </w:pPr>
          </w:p>
        </w:tc>
      </w:tr>
      <w:tr w:rsidR="00C6764E" w14:paraId="3AFFC53C" w14:textId="77777777" w:rsidTr="00C6764E">
        <w:tc>
          <w:tcPr>
            <w:tcW w:w="1413" w:type="dxa"/>
          </w:tcPr>
          <w:p w14:paraId="49F2B452" w14:textId="4116A057" w:rsidR="00C6764E" w:rsidRDefault="00D51D10" w:rsidP="001555EA">
            <w:pPr>
              <w:jc w:val="both"/>
            </w:pPr>
            <w:r>
              <w:t>Couverture des besoins</w:t>
            </w:r>
          </w:p>
        </w:tc>
        <w:tc>
          <w:tcPr>
            <w:tcW w:w="7649" w:type="dxa"/>
          </w:tcPr>
          <w:p w14:paraId="3B64D71C" w14:textId="77777777" w:rsidR="007F1500" w:rsidRDefault="00B32D59" w:rsidP="00C6764E">
            <w:pPr>
              <w:jc w:val="both"/>
            </w:pPr>
            <w:r>
              <w:t xml:space="preserve">Une analyse qualitative sur la couverture des besoins </w:t>
            </w:r>
            <w:r w:rsidR="007F1500">
              <w:t>sera conduite, intégrant :</w:t>
            </w:r>
          </w:p>
          <w:p w14:paraId="52ED7F20" w14:textId="1C9F30ED" w:rsidR="00C6764E" w:rsidRDefault="00C6764E" w:rsidP="007F1500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>Une analyse des programmes faisant le lien entre urgence et développement</w:t>
            </w:r>
          </w:p>
          <w:p w14:paraId="7F88C812" w14:textId="0F78434E" w:rsidR="00482028" w:rsidRDefault="007F1500" w:rsidP="007F1500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rPr>
                <w:i/>
              </w:rPr>
              <w:lastRenderedPageBreak/>
              <w:t xml:space="preserve">Une </w:t>
            </w:r>
            <w:r w:rsidR="00047288" w:rsidRPr="007F1500">
              <w:rPr>
                <w:i/>
              </w:rPr>
              <w:t>Identification des besoins </w:t>
            </w:r>
            <w:r w:rsidR="00047288">
              <w:t>: Quels sont les besoins identifiés comme prioritaires</w:t>
            </w:r>
            <w:r w:rsidR="005F715A">
              <w:t>, notamment en terme de sécurité alimentaire</w:t>
            </w:r>
            <w:r w:rsidR="00047288">
              <w:t xml:space="preserve"> ? Par les populations ? Par les autorités ? </w:t>
            </w:r>
            <w:r w:rsidR="00C03B1C">
              <w:t>Quels sont les problèmes structurels ?</w:t>
            </w:r>
          </w:p>
          <w:p w14:paraId="1E54CA99" w14:textId="68F357D9" w:rsidR="00047288" w:rsidRDefault="007F1500" w:rsidP="006B6C67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t xml:space="preserve">Une analyse </w:t>
            </w:r>
            <w:r w:rsidR="00047288">
              <w:t xml:space="preserve">conflits </w:t>
            </w:r>
            <w:proofErr w:type="spellStart"/>
            <w:r w:rsidR="00047288">
              <w:t>inter-communautaires</w:t>
            </w:r>
            <w:proofErr w:type="spellEnd"/>
            <w:r w:rsidR="00047288">
              <w:t> : quelles en sont les causes ? Tensions entre déplacés et communautés hôtes ?</w:t>
            </w:r>
          </w:p>
          <w:p w14:paraId="0C5EC2F2" w14:textId="77777777" w:rsidR="00EB642C" w:rsidRDefault="007F1500" w:rsidP="00EB642C">
            <w:pPr>
              <w:pStyle w:val="Paragraphedeliste"/>
              <w:numPr>
                <w:ilvl w:val="0"/>
                <w:numId w:val="5"/>
              </w:numPr>
              <w:jc w:val="both"/>
            </w:pPr>
            <w:r>
              <w:rPr>
                <w:i/>
              </w:rPr>
              <w:t>Des pistes de réflexion sur une possible r</w:t>
            </w:r>
            <w:r w:rsidR="00047288" w:rsidRPr="007F1500">
              <w:rPr>
                <w:i/>
              </w:rPr>
              <w:t>éponse humanitaire</w:t>
            </w:r>
            <w:r>
              <w:rPr>
                <w:i/>
              </w:rPr>
              <w:t xml:space="preserve"> transfrontalière. Existe-il </w:t>
            </w:r>
            <w:proofErr w:type="gramStart"/>
            <w:r>
              <w:rPr>
                <w:i/>
              </w:rPr>
              <w:t xml:space="preserve">un </w:t>
            </w:r>
            <w:r w:rsidR="00047288">
              <w:t xml:space="preserve"> </w:t>
            </w:r>
            <w:r>
              <w:t>besoin</w:t>
            </w:r>
            <w:proofErr w:type="gramEnd"/>
            <w:r>
              <w:t xml:space="preserve"> pour des</w:t>
            </w:r>
            <w:r w:rsidR="00C03B1C">
              <w:t xml:space="preserve"> mécanismes transfrontaliers, notamment avec le Nigéria ?</w:t>
            </w:r>
          </w:p>
          <w:p w14:paraId="7EFC957C" w14:textId="3DB60EB3" w:rsidR="00EB642C" w:rsidRDefault="00EB642C" w:rsidP="00EB642C">
            <w:pPr>
              <w:pStyle w:val="Paragraphedeliste"/>
              <w:ind w:left="360"/>
              <w:jc w:val="both"/>
            </w:pPr>
          </w:p>
        </w:tc>
      </w:tr>
    </w:tbl>
    <w:p w14:paraId="01B6926E" w14:textId="715F91A1" w:rsidR="000D7AE7" w:rsidRDefault="000D7AE7" w:rsidP="001555EA">
      <w:pPr>
        <w:spacing w:after="0"/>
        <w:jc w:val="both"/>
      </w:pPr>
    </w:p>
    <w:p w14:paraId="19F707B7" w14:textId="1DBB4B31" w:rsidR="00442997" w:rsidRPr="008D417E" w:rsidRDefault="00442997" w:rsidP="001555EA">
      <w:pPr>
        <w:spacing w:after="0"/>
        <w:jc w:val="both"/>
        <w:rPr>
          <w:b/>
        </w:rPr>
      </w:pPr>
      <w:r w:rsidRPr="008D417E">
        <w:rPr>
          <w:b/>
        </w:rPr>
        <w:t>Produits</w:t>
      </w:r>
      <w:r w:rsidR="009274AA">
        <w:rPr>
          <w:b/>
        </w:rPr>
        <w:t xml:space="preserve"> finaux</w:t>
      </w:r>
    </w:p>
    <w:p w14:paraId="34EFA424" w14:textId="77777777" w:rsidR="00442997" w:rsidRDefault="00442997" w:rsidP="001555EA">
      <w:pPr>
        <w:spacing w:after="0"/>
        <w:jc w:val="both"/>
      </w:pPr>
    </w:p>
    <w:p w14:paraId="6878B671" w14:textId="77777777" w:rsidR="00442997" w:rsidRDefault="00442997" w:rsidP="001555EA">
      <w:pPr>
        <w:spacing w:after="0"/>
        <w:jc w:val="both"/>
      </w:pPr>
      <w:r>
        <w:t>Un rapport intégrant :</w:t>
      </w:r>
    </w:p>
    <w:p w14:paraId="79FC042F" w14:textId="77777777" w:rsidR="00442997" w:rsidRDefault="00442997" w:rsidP="001555EA">
      <w:pPr>
        <w:pStyle w:val="Paragraphedeliste"/>
        <w:numPr>
          <w:ilvl w:val="0"/>
          <w:numId w:val="1"/>
        </w:numPr>
        <w:spacing w:after="0"/>
        <w:jc w:val="both"/>
      </w:pPr>
      <w:r>
        <w:t>Les réponses aux questions susmentionnées</w:t>
      </w:r>
    </w:p>
    <w:p w14:paraId="543977EF" w14:textId="0AFE46BC" w:rsidR="00442997" w:rsidRDefault="00F617F7" w:rsidP="00EB642C">
      <w:pPr>
        <w:pStyle w:val="Paragraphedeliste"/>
        <w:numPr>
          <w:ilvl w:val="0"/>
          <w:numId w:val="1"/>
        </w:numPr>
        <w:spacing w:after="0"/>
        <w:jc w:val="both"/>
      </w:pPr>
      <w:r>
        <w:t>Des</w:t>
      </w:r>
      <w:r w:rsidR="00EB642C">
        <w:t xml:space="preserve"> projections de l’évolution de la situation humanitaire selon 3 scénarii – optimiste, réaliste, pessimiste – en fonction des analyses précédentes</w:t>
      </w:r>
    </w:p>
    <w:p w14:paraId="5AD5DB84" w14:textId="222BF743" w:rsidR="00F617F7" w:rsidRDefault="00F617F7" w:rsidP="00F617F7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Des recommandations en terme de plaidoyer </w:t>
      </w:r>
      <w:r w:rsidR="005F715A">
        <w:t>aux divers échelons (central et locaux)</w:t>
      </w:r>
    </w:p>
    <w:p w14:paraId="3BBAE537" w14:textId="77777777" w:rsidR="00442997" w:rsidRDefault="00442997" w:rsidP="001555EA">
      <w:pPr>
        <w:spacing w:after="0"/>
        <w:jc w:val="both"/>
      </w:pPr>
      <w:r>
        <w:t>Une synthèse de 2-3 pages</w:t>
      </w:r>
    </w:p>
    <w:p w14:paraId="0BF83D36" w14:textId="77777777" w:rsidR="00442997" w:rsidRDefault="00442997" w:rsidP="001555EA">
      <w:pPr>
        <w:spacing w:after="0"/>
        <w:jc w:val="both"/>
      </w:pPr>
      <w:r>
        <w:t>Une présentation Power Point</w:t>
      </w:r>
    </w:p>
    <w:p w14:paraId="4D50E602" w14:textId="77777777" w:rsidR="00442997" w:rsidRDefault="00442997" w:rsidP="001555EA">
      <w:pPr>
        <w:spacing w:after="0"/>
        <w:jc w:val="both"/>
      </w:pPr>
    </w:p>
    <w:p w14:paraId="3394A6B4" w14:textId="77777777" w:rsidR="00442997" w:rsidRDefault="00442997" w:rsidP="001555EA">
      <w:pPr>
        <w:spacing w:after="0"/>
        <w:jc w:val="both"/>
      </w:pPr>
      <w:r>
        <w:t>L’ensemble des produits respectera la charte graphique d’Action Contre la Faim</w:t>
      </w:r>
    </w:p>
    <w:p w14:paraId="68CC2845" w14:textId="77777777" w:rsidR="00442997" w:rsidRDefault="00442997" w:rsidP="001555EA">
      <w:pPr>
        <w:spacing w:after="0"/>
        <w:jc w:val="both"/>
      </w:pPr>
    </w:p>
    <w:p w14:paraId="7B31D9F2" w14:textId="44CBDFA6" w:rsidR="00442997" w:rsidRDefault="00442997" w:rsidP="009B40CD">
      <w:pPr>
        <w:spacing w:after="0"/>
        <w:jc w:val="both"/>
        <w:rPr>
          <w:b/>
        </w:rPr>
      </w:pPr>
      <w:r w:rsidRPr="008D417E">
        <w:rPr>
          <w:b/>
        </w:rPr>
        <w:t>Durée</w:t>
      </w:r>
    </w:p>
    <w:p w14:paraId="5C4FB221" w14:textId="77777777" w:rsidR="00AB2CD1" w:rsidRPr="008D417E" w:rsidRDefault="00AB2CD1" w:rsidP="009B40CD">
      <w:pPr>
        <w:spacing w:after="0"/>
        <w:jc w:val="both"/>
        <w:rPr>
          <w:b/>
        </w:rPr>
      </w:pPr>
    </w:p>
    <w:p w14:paraId="428314EC" w14:textId="10E80CA2" w:rsidR="00442997" w:rsidRDefault="00442997" w:rsidP="009B40CD">
      <w:pPr>
        <w:spacing w:after="0"/>
        <w:jc w:val="both"/>
      </w:pPr>
      <w:r>
        <w:t>La consultance durera six semaines.</w:t>
      </w:r>
    </w:p>
    <w:p w14:paraId="31395907" w14:textId="548C42A2" w:rsidR="00B66F56" w:rsidRDefault="00B66F56" w:rsidP="009B40CD">
      <w:pPr>
        <w:spacing w:after="0"/>
        <w:jc w:val="both"/>
      </w:pPr>
      <w:r>
        <w:t>En milieu d’étude, le consultant enverra ses premières observations à la Coordinatrice Plaidoyer qui pourra réorienter les questionnements.</w:t>
      </w:r>
    </w:p>
    <w:p w14:paraId="39C66CE3" w14:textId="518A0906" w:rsidR="00442997" w:rsidRDefault="00442997" w:rsidP="009B40CD">
      <w:pPr>
        <w:spacing w:after="0"/>
        <w:jc w:val="both"/>
      </w:pPr>
    </w:p>
    <w:p w14:paraId="378902D9" w14:textId="08BCDC7A" w:rsidR="00C6764E" w:rsidRPr="00C6764E" w:rsidRDefault="00C6764E" w:rsidP="009B40CD">
      <w:pPr>
        <w:spacing w:after="0"/>
        <w:jc w:val="both"/>
        <w:rPr>
          <w:b/>
          <w:color w:val="0070C0"/>
          <w:sz w:val="24"/>
          <w:szCs w:val="24"/>
        </w:rPr>
      </w:pPr>
      <w:r w:rsidRPr="00C6764E">
        <w:rPr>
          <w:b/>
          <w:color w:val="0070C0"/>
          <w:sz w:val="24"/>
          <w:szCs w:val="24"/>
        </w:rPr>
        <w:t>III – Le consultant</w:t>
      </w:r>
    </w:p>
    <w:p w14:paraId="72DF2FF8" w14:textId="77777777" w:rsidR="00C6764E" w:rsidRDefault="00C6764E" w:rsidP="009B40CD">
      <w:pPr>
        <w:spacing w:after="0"/>
        <w:jc w:val="both"/>
      </w:pPr>
    </w:p>
    <w:p w14:paraId="0C4C216D" w14:textId="086D1349" w:rsidR="00442997" w:rsidRDefault="00442997" w:rsidP="009B40CD">
      <w:pPr>
        <w:spacing w:after="0"/>
        <w:jc w:val="both"/>
        <w:rPr>
          <w:b/>
        </w:rPr>
      </w:pPr>
      <w:r w:rsidRPr="008D417E">
        <w:rPr>
          <w:b/>
        </w:rPr>
        <w:t xml:space="preserve">Profil </w:t>
      </w:r>
    </w:p>
    <w:p w14:paraId="5B897EA1" w14:textId="77777777" w:rsidR="00AB2CD1" w:rsidRPr="008D417E" w:rsidRDefault="00AB2CD1" w:rsidP="009B40CD">
      <w:pPr>
        <w:spacing w:after="0"/>
        <w:jc w:val="both"/>
        <w:rPr>
          <w:b/>
        </w:rPr>
      </w:pPr>
    </w:p>
    <w:p w14:paraId="5FAB07B8" w14:textId="57477703" w:rsidR="00442997" w:rsidRDefault="00442997" w:rsidP="009B40CD">
      <w:pPr>
        <w:spacing w:after="0"/>
        <w:jc w:val="both"/>
      </w:pPr>
      <w:r>
        <w:t>Le Consultant</w:t>
      </w:r>
      <w:r w:rsidR="005C471D">
        <w:t>, national ou international, aura :</w:t>
      </w:r>
    </w:p>
    <w:p w14:paraId="6021C908" w14:textId="12391CEF" w:rsidR="006974C1" w:rsidRDefault="005C471D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Une e</w:t>
      </w:r>
      <w:r w:rsidR="006974C1">
        <w:t>xpérience dans la conduite d’étude</w:t>
      </w:r>
      <w:r w:rsidR="00CB0806">
        <w:t xml:space="preserve"> dans des contextes de crise</w:t>
      </w:r>
    </w:p>
    <w:p w14:paraId="3417A942" w14:textId="767C8083" w:rsidR="00E214D8" w:rsidRDefault="00E214D8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Une expérience dans la conduite d’entretiens</w:t>
      </w:r>
    </w:p>
    <w:p w14:paraId="19FD7918" w14:textId="0219B205" w:rsidR="00CB0806" w:rsidRDefault="00965912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Une b</w:t>
      </w:r>
      <w:r w:rsidR="00CB0806">
        <w:t>onne connaissance du milieu humanitaire</w:t>
      </w:r>
    </w:p>
    <w:p w14:paraId="41560689" w14:textId="40D5C662" w:rsidR="006974C1" w:rsidRDefault="006974C1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Une expérience en plaidoyer serait un plus</w:t>
      </w:r>
    </w:p>
    <w:p w14:paraId="3F5415BB" w14:textId="5FB9D223" w:rsidR="00442997" w:rsidRDefault="008F1767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Une b</w:t>
      </w:r>
      <w:r w:rsidR="00442997">
        <w:t>onne connaissance du contexte de Diffa</w:t>
      </w:r>
    </w:p>
    <w:p w14:paraId="3FC9F3E6" w14:textId="419E81FE" w:rsidR="00E214D8" w:rsidRDefault="00E214D8" w:rsidP="009B40CD">
      <w:pPr>
        <w:spacing w:after="0"/>
        <w:jc w:val="both"/>
      </w:pPr>
    </w:p>
    <w:p w14:paraId="78EDB307" w14:textId="4750C58D" w:rsidR="00E214D8" w:rsidRDefault="00E214D8" w:rsidP="009B40CD">
      <w:pPr>
        <w:spacing w:after="0"/>
        <w:jc w:val="both"/>
      </w:pPr>
      <w:r>
        <w:t>Il présentera les qualités suivantes :</w:t>
      </w:r>
    </w:p>
    <w:p w14:paraId="757C75AD" w14:textId="46A10CBB" w:rsidR="00E214D8" w:rsidRDefault="00E214D8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Excellente capacité d’analyse et de synthèse</w:t>
      </w:r>
    </w:p>
    <w:p w14:paraId="2B7242BE" w14:textId="68C4EF15" w:rsidR="00E214D8" w:rsidRDefault="00E214D8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Aisance rédactionnelle</w:t>
      </w:r>
    </w:p>
    <w:p w14:paraId="6614EA25" w14:textId="34C2F0A3" w:rsidR="00B271A0" w:rsidRDefault="00B271A0" w:rsidP="009B40CD">
      <w:pPr>
        <w:pStyle w:val="Paragraphedeliste"/>
        <w:numPr>
          <w:ilvl w:val="0"/>
          <w:numId w:val="1"/>
        </w:numPr>
        <w:spacing w:after="0"/>
        <w:jc w:val="both"/>
      </w:pPr>
      <w:r>
        <w:t>Excellent français écrit et oral</w:t>
      </w:r>
    </w:p>
    <w:p w14:paraId="1F0EB642" w14:textId="4FE02055" w:rsidR="00E214D8" w:rsidRPr="009B40CD" w:rsidRDefault="00E214D8" w:rsidP="009B40CD">
      <w:pPr>
        <w:pStyle w:val="Paragraphedeliste"/>
        <w:numPr>
          <w:ilvl w:val="0"/>
          <w:numId w:val="1"/>
        </w:numPr>
        <w:spacing w:after="0"/>
        <w:jc w:val="both"/>
      </w:pPr>
      <w:r w:rsidRPr="009B40CD">
        <w:t>Bonnes qualités relationnelles</w:t>
      </w:r>
    </w:p>
    <w:p w14:paraId="626F9A49" w14:textId="27684B76" w:rsidR="00E214D8" w:rsidRPr="009B40CD" w:rsidRDefault="00312E25" w:rsidP="009B40CD">
      <w:pPr>
        <w:pStyle w:val="Paragraphedeliste"/>
        <w:numPr>
          <w:ilvl w:val="0"/>
          <w:numId w:val="1"/>
        </w:numPr>
        <w:spacing w:after="0"/>
        <w:jc w:val="both"/>
      </w:pPr>
      <w:r w:rsidRPr="009B40CD">
        <w:t>Vision stratégique</w:t>
      </w:r>
    </w:p>
    <w:p w14:paraId="17D27264" w14:textId="77777777" w:rsidR="008D417E" w:rsidRPr="009B40CD" w:rsidRDefault="008D417E" w:rsidP="009B40CD">
      <w:pPr>
        <w:spacing w:after="0"/>
        <w:jc w:val="both"/>
        <w:rPr>
          <w:color w:val="0070C0"/>
          <w:sz w:val="24"/>
          <w:szCs w:val="24"/>
        </w:rPr>
      </w:pPr>
    </w:p>
    <w:p w14:paraId="7F7B166E" w14:textId="44716B01" w:rsidR="008D417E" w:rsidRPr="009B40CD" w:rsidRDefault="009B40CD" w:rsidP="009B40CD">
      <w:pPr>
        <w:spacing w:after="0"/>
        <w:jc w:val="both"/>
        <w:rPr>
          <w:b/>
          <w:color w:val="0070C0"/>
          <w:sz w:val="24"/>
          <w:szCs w:val="24"/>
        </w:rPr>
      </w:pPr>
      <w:r w:rsidRPr="009B40CD">
        <w:rPr>
          <w:b/>
          <w:color w:val="0070C0"/>
          <w:sz w:val="24"/>
          <w:szCs w:val="24"/>
        </w:rPr>
        <w:t xml:space="preserve">IV - </w:t>
      </w:r>
      <w:r w:rsidR="008D417E" w:rsidRPr="009B40CD">
        <w:rPr>
          <w:b/>
          <w:color w:val="0070C0"/>
          <w:sz w:val="24"/>
          <w:szCs w:val="24"/>
        </w:rPr>
        <w:t>Candidature</w:t>
      </w:r>
    </w:p>
    <w:p w14:paraId="6DADE1DC" w14:textId="77777777" w:rsidR="006974C1" w:rsidRPr="009B40CD" w:rsidRDefault="006974C1" w:rsidP="009B40CD">
      <w:pPr>
        <w:spacing w:after="0"/>
        <w:jc w:val="both"/>
        <w:rPr>
          <w:b/>
          <w:color w:val="0070C0"/>
          <w:sz w:val="24"/>
          <w:szCs w:val="24"/>
        </w:rPr>
      </w:pPr>
    </w:p>
    <w:p w14:paraId="0257D61D" w14:textId="77777777" w:rsidR="009B40CD" w:rsidRPr="006C574C" w:rsidRDefault="009B40CD" w:rsidP="009B40CD">
      <w:pPr>
        <w:spacing w:after="0"/>
        <w:jc w:val="both"/>
        <w:rPr>
          <w:b/>
          <w:color w:val="0070C0"/>
          <w:sz w:val="24"/>
          <w:szCs w:val="24"/>
        </w:rPr>
      </w:pPr>
    </w:p>
    <w:p w14:paraId="7EBDB5C7" w14:textId="6172AA1B" w:rsidR="009B40CD" w:rsidRPr="009F314E" w:rsidRDefault="009B40CD" w:rsidP="009B40CD">
      <w:pPr>
        <w:spacing w:after="0"/>
        <w:jc w:val="both"/>
        <w:rPr>
          <w:rFonts w:cs="Arial"/>
          <w:b/>
          <w:u w:val="single"/>
          <w:lang w:eastAsia="en-GB"/>
        </w:rPr>
      </w:pPr>
      <w:r w:rsidRPr="00B9144F">
        <w:rPr>
          <w:rFonts w:cs="Arial"/>
          <w:lang w:eastAsia="en-GB"/>
        </w:rPr>
        <w:t>Date limite de soumission des offres</w:t>
      </w:r>
      <w:r>
        <w:rPr>
          <w:rFonts w:cs="Arial"/>
          <w:lang w:eastAsia="en-GB"/>
        </w:rPr>
        <w:t xml:space="preserve"> </w:t>
      </w:r>
      <w:r w:rsidRPr="00B9144F">
        <w:rPr>
          <w:rFonts w:cs="Arial"/>
          <w:lang w:eastAsia="en-GB"/>
        </w:rPr>
        <w:t xml:space="preserve">: </w:t>
      </w:r>
      <w:r w:rsidRPr="006C574C">
        <w:rPr>
          <w:rFonts w:cs="Arial"/>
          <w:b/>
          <w:lang w:eastAsia="en-GB"/>
        </w:rPr>
        <w:t xml:space="preserve">mercredi 23 Août à </w:t>
      </w:r>
      <w:proofErr w:type="gramStart"/>
      <w:r w:rsidRPr="006C574C">
        <w:rPr>
          <w:rFonts w:cs="Arial"/>
          <w:b/>
          <w:lang w:eastAsia="en-GB"/>
        </w:rPr>
        <w:t>23:</w:t>
      </w:r>
      <w:proofErr w:type="gramEnd"/>
      <w:r w:rsidRPr="006C574C">
        <w:rPr>
          <w:rFonts w:cs="Arial"/>
          <w:b/>
          <w:lang w:eastAsia="en-GB"/>
        </w:rPr>
        <w:t>59 (Heure Niamey)</w:t>
      </w:r>
      <w:r>
        <w:rPr>
          <w:color w:val="00B050"/>
          <w:lang w:val="fr-BE"/>
        </w:rPr>
        <w:t> </w:t>
      </w:r>
    </w:p>
    <w:p w14:paraId="4EF389AE" w14:textId="06F4B0F1" w:rsidR="009B40CD" w:rsidRPr="00330D52" w:rsidRDefault="009B40CD" w:rsidP="009B40CD">
      <w:pPr>
        <w:spacing w:after="0" w:line="240" w:lineRule="auto"/>
        <w:jc w:val="both"/>
        <w:rPr>
          <w:color w:val="1F497D"/>
          <w:lang w:val="fr-BE"/>
        </w:rPr>
      </w:pPr>
      <w:r w:rsidRPr="00330D52">
        <w:rPr>
          <w:rFonts w:cs="Arial"/>
          <w:lang w:eastAsia="en-GB"/>
        </w:rPr>
        <w:t>Réception des offres : Les offres paraphées et signées doivent être envoyées par email avec le sujet « </w:t>
      </w:r>
      <w:r w:rsidRPr="00330D52">
        <w:rPr>
          <w:rFonts w:cs="Arial"/>
          <w:b/>
          <w:lang w:eastAsia="en-GB"/>
        </w:rPr>
        <w:t>Consultance pour un diagnostic de plaidoyer humanitaire dans la région de Diffa, Niger</w:t>
      </w:r>
      <w:r w:rsidRPr="00330D52">
        <w:rPr>
          <w:rFonts w:cs="Arial"/>
          <w:lang w:eastAsia="en-GB"/>
        </w:rPr>
        <w:t xml:space="preserve"> »  à l’adresse de </w:t>
      </w:r>
      <w:hyperlink r:id="rId7" w:history="1">
        <w:r w:rsidRPr="00330D52">
          <w:rPr>
            <w:rStyle w:val="Lienhypertexte"/>
            <w:rFonts w:cs="Arial"/>
            <w:lang w:eastAsia="en-GB"/>
          </w:rPr>
          <w:t>pasket@ne.acfspain.org</w:t>
        </w:r>
      </w:hyperlink>
      <w:r w:rsidRPr="00330D52">
        <w:rPr>
          <w:rFonts w:cs="Arial"/>
          <w:lang w:eastAsia="en-GB"/>
        </w:rPr>
        <w:t xml:space="preserve"> et </w:t>
      </w:r>
      <w:hyperlink r:id="rId8" w:history="1">
        <w:r w:rsidRPr="00330D52">
          <w:rPr>
            <w:rStyle w:val="Lienhypertexte"/>
            <w:rFonts w:cs="Arial"/>
            <w:lang w:eastAsia="en-GB"/>
          </w:rPr>
          <w:t>cmelis@ne.acfspain.org</w:t>
        </w:r>
      </w:hyperlink>
      <w:r w:rsidRPr="00330D52">
        <w:rPr>
          <w:rFonts w:cs="Arial"/>
          <w:lang w:eastAsia="en-GB"/>
        </w:rPr>
        <w:t xml:space="preserve"> avec en copie </w:t>
      </w:r>
      <w:hyperlink r:id="rId9" w:history="1">
        <w:r w:rsidRPr="00330D52">
          <w:rPr>
            <w:rStyle w:val="Lienhypertexte"/>
            <w:rFonts w:cs="Arial"/>
            <w:lang w:eastAsia="en-GB"/>
          </w:rPr>
          <w:t>maggarcia@ne.acfspain.org</w:t>
        </w:r>
      </w:hyperlink>
      <w:r w:rsidRPr="00330D52">
        <w:rPr>
          <w:rFonts w:cs="Arial"/>
          <w:lang w:eastAsia="en-GB"/>
        </w:rPr>
        <w:t xml:space="preserve"> ou au Bureau d’Action Contre la Faim Niger, 213 rue du </w:t>
      </w:r>
      <w:proofErr w:type="spellStart"/>
      <w:r w:rsidRPr="00330D52">
        <w:rPr>
          <w:rFonts w:cs="Arial"/>
          <w:lang w:eastAsia="en-GB"/>
        </w:rPr>
        <w:t>Bély</w:t>
      </w:r>
      <w:proofErr w:type="spellEnd"/>
      <w:r w:rsidRPr="00330D52">
        <w:rPr>
          <w:rFonts w:cs="Arial"/>
          <w:lang w:eastAsia="en-GB"/>
        </w:rPr>
        <w:t>, Quartier Plateau, Niamey, Niger.</w:t>
      </w:r>
    </w:p>
    <w:p w14:paraId="30F0613F" w14:textId="28A706A7" w:rsidR="009B40CD" w:rsidRDefault="009B40CD" w:rsidP="001555EA">
      <w:pPr>
        <w:spacing w:after="0"/>
        <w:jc w:val="both"/>
      </w:pPr>
    </w:p>
    <w:p w14:paraId="30186B54" w14:textId="75FAC8A5" w:rsidR="008D417E" w:rsidRDefault="008D417E" w:rsidP="001555EA">
      <w:pPr>
        <w:spacing w:after="0"/>
        <w:jc w:val="both"/>
      </w:pPr>
      <w:r>
        <w:t>Les candidats devront envoyer :</w:t>
      </w:r>
    </w:p>
    <w:p w14:paraId="33DA489D" w14:textId="77777777" w:rsidR="008D417E" w:rsidRDefault="008D417E" w:rsidP="001555EA">
      <w:pPr>
        <w:pStyle w:val="Paragraphedeliste"/>
        <w:numPr>
          <w:ilvl w:val="0"/>
          <w:numId w:val="1"/>
        </w:numPr>
        <w:spacing w:after="0"/>
        <w:jc w:val="both"/>
      </w:pPr>
      <w:r>
        <w:t>Un CV</w:t>
      </w:r>
    </w:p>
    <w:p w14:paraId="33CCC405" w14:textId="453F9364" w:rsidR="002D4FBE" w:rsidRDefault="008D417E" w:rsidP="002D4FBE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Une </w:t>
      </w:r>
      <w:r w:rsidR="00782190">
        <w:t>offre</w:t>
      </w:r>
      <w:r>
        <w:t xml:space="preserve"> technique</w:t>
      </w:r>
      <w:r w:rsidR="00726A74">
        <w:t xml:space="preserve"> de 2-3 pages</w:t>
      </w:r>
      <w:r w:rsidR="00782190">
        <w:t>, avec proposition méthodologique (incluant la composition d’une équipe si jugée nécessaire)</w:t>
      </w:r>
      <w:r w:rsidR="009B40CD">
        <w:t xml:space="preserve"> et chronogramme</w:t>
      </w:r>
    </w:p>
    <w:p w14:paraId="5D6EA0E7" w14:textId="049BE70C" w:rsidR="00BB3723" w:rsidRDefault="008D417E" w:rsidP="00BB7E44">
      <w:pPr>
        <w:pStyle w:val="Paragraphedeliste"/>
        <w:numPr>
          <w:ilvl w:val="0"/>
          <w:numId w:val="1"/>
        </w:numPr>
        <w:spacing w:after="0"/>
        <w:jc w:val="both"/>
      </w:pPr>
      <w:r w:rsidRPr="004C234B">
        <w:t xml:space="preserve">Une </w:t>
      </w:r>
      <w:r w:rsidR="00782190">
        <w:t>offre</w:t>
      </w:r>
      <w:r w:rsidRPr="004C234B">
        <w:t xml:space="preserve"> financière</w:t>
      </w:r>
      <w:r w:rsidR="004C234B" w:rsidRPr="004C234B">
        <w:t xml:space="preserve"> </w:t>
      </w:r>
      <w:r w:rsidR="004C234B" w:rsidRPr="002D4FBE">
        <w:rPr>
          <w:rFonts w:eastAsia="Times New Roman" w:cs="Arial"/>
          <w:lang w:eastAsia="fr-FR"/>
        </w:rPr>
        <w:t>détaillant les coûts proposés pour la réalisation de l’étude</w:t>
      </w:r>
      <w:r w:rsidR="002D4FBE" w:rsidRPr="002D4FBE">
        <w:rPr>
          <w:rFonts w:eastAsia="Times New Roman" w:cs="Arial"/>
          <w:lang w:eastAsia="fr-FR"/>
        </w:rPr>
        <w:t xml:space="preserve">. </w:t>
      </w:r>
      <w:r w:rsidR="002D4FBE" w:rsidRPr="002D4FBE">
        <w:t>Tous les frais pour les déplacements internationaux</w:t>
      </w:r>
      <w:r w:rsidR="009B40CD">
        <w:t xml:space="preserve"> et internes (vol UNHAS)</w:t>
      </w:r>
      <w:r w:rsidR="002D4FBE" w:rsidRPr="002D4FBE">
        <w:t xml:space="preserve">, </w:t>
      </w:r>
      <w:r w:rsidR="003E64BA">
        <w:t xml:space="preserve">le </w:t>
      </w:r>
      <w:r w:rsidR="002D4FBE" w:rsidRPr="002D4FBE">
        <w:t xml:space="preserve">coût de visa, les frais de nourriture, le logement à Niamey sont à la charge du consultant. Le consultant sera logé dans la maison de passage pendant le séjour à Diffa.  </w:t>
      </w:r>
      <w:r w:rsidR="003E64BA">
        <w:t>Il</w:t>
      </w:r>
      <w:r w:rsidR="002D4FBE" w:rsidRPr="002D4FBE">
        <w:t xml:space="preserve"> devr</w:t>
      </w:r>
      <w:r w:rsidR="003E64BA">
        <w:t>a</w:t>
      </w:r>
      <w:r w:rsidR="002D4FBE" w:rsidRPr="002D4FBE">
        <w:t xml:space="preserve"> avoir </w:t>
      </w:r>
      <w:r w:rsidR="003E64BA">
        <w:t>son</w:t>
      </w:r>
      <w:r w:rsidR="002D4FBE" w:rsidRPr="002D4FBE">
        <w:t xml:space="preserve"> propre équipement nécessaire pour conduire l’étude (ordinateur, appareil photo, téléphone, etc.).</w:t>
      </w:r>
    </w:p>
    <w:p w14:paraId="0A1D308A" w14:textId="77777777" w:rsidR="009B40CD" w:rsidRDefault="009B40CD" w:rsidP="009B40CD">
      <w:pPr>
        <w:spacing w:after="0"/>
        <w:jc w:val="both"/>
        <w:rPr>
          <w:b/>
          <w:color w:val="0070C0"/>
          <w:sz w:val="24"/>
          <w:szCs w:val="24"/>
        </w:rPr>
      </w:pPr>
    </w:p>
    <w:p w14:paraId="5BB88883" w14:textId="235440A7" w:rsidR="009B40CD" w:rsidRPr="009B40CD" w:rsidRDefault="009B40CD" w:rsidP="009B40CD">
      <w:pPr>
        <w:spacing w:after="0"/>
        <w:jc w:val="both"/>
        <w:rPr>
          <w:rFonts w:eastAsia="Times New Roman"/>
          <w:lang w:eastAsia="fr-FR"/>
        </w:rPr>
      </w:pPr>
      <w:r w:rsidRPr="009B40CD">
        <w:rPr>
          <w:b/>
        </w:rPr>
        <w:t>Critères d'évaluation des offres</w:t>
      </w:r>
      <w:r w:rsidRPr="009B40CD">
        <w:rPr>
          <w:b/>
        </w:rPr>
        <w:t> :</w:t>
      </w:r>
    </w:p>
    <w:p w14:paraId="5159FA6E" w14:textId="77777777" w:rsidR="009B40CD" w:rsidRPr="00B9144F" w:rsidRDefault="009B40CD" w:rsidP="009B40CD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cs="Arial"/>
          <w:lang w:eastAsia="en-GB"/>
        </w:rPr>
      </w:pPr>
      <w:r w:rsidRPr="00B9144F">
        <w:rPr>
          <w:rFonts w:cs="Arial"/>
          <w:lang w:eastAsia="en-GB"/>
        </w:rPr>
        <w:t>La qualité de l'offre technique</w:t>
      </w:r>
      <w:r>
        <w:rPr>
          <w:rFonts w:cs="Arial"/>
          <w:lang w:eastAsia="en-GB"/>
        </w:rPr>
        <w:t>,</w:t>
      </w:r>
    </w:p>
    <w:p w14:paraId="03E93CEF" w14:textId="77777777" w:rsidR="009B40CD" w:rsidRDefault="009B40CD" w:rsidP="009B40CD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L</w:t>
      </w:r>
      <w:r w:rsidRPr="00B9144F">
        <w:rPr>
          <w:rFonts w:cs="Arial"/>
          <w:lang w:eastAsia="en-GB"/>
        </w:rPr>
        <w:t>a compétitivité de l’offre financière</w:t>
      </w:r>
      <w:r>
        <w:rPr>
          <w:rFonts w:cs="Arial"/>
          <w:lang w:eastAsia="en-GB"/>
        </w:rPr>
        <w:t>,</w:t>
      </w:r>
    </w:p>
    <w:p w14:paraId="076C2AF4" w14:textId="6F533B9B" w:rsidR="009B40CD" w:rsidRPr="009B40CD" w:rsidRDefault="009B40CD" w:rsidP="003C74D8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eastAsia="Times New Roman"/>
          <w:b/>
          <w:sz w:val="24"/>
          <w:szCs w:val="24"/>
          <w:lang w:eastAsia="fr-FR"/>
        </w:rPr>
      </w:pPr>
      <w:r w:rsidRPr="009B40CD">
        <w:rPr>
          <w:rFonts w:cs="Arial"/>
          <w:lang w:eastAsia="en-GB"/>
        </w:rPr>
        <w:t>La c</w:t>
      </w:r>
      <w:r w:rsidRPr="009B40CD">
        <w:rPr>
          <w:rFonts w:cs="Arial"/>
          <w:lang w:eastAsia="en-GB"/>
        </w:rPr>
        <w:t xml:space="preserve">onformité avec </w:t>
      </w:r>
      <w:r w:rsidRPr="009B40CD">
        <w:rPr>
          <w:rFonts w:cs="Arial"/>
          <w:lang w:eastAsia="en-GB"/>
        </w:rPr>
        <w:t xml:space="preserve">le dossier demandé dans les </w:t>
      </w:r>
      <w:proofErr w:type="spellStart"/>
      <w:r w:rsidRPr="009B40CD">
        <w:rPr>
          <w:rFonts w:cs="Arial"/>
          <w:lang w:eastAsia="en-GB"/>
        </w:rPr>
        <w:t>TdR</w:t>
      </w:r>
      <w:proofErr w:type="spellEnd"/>
    </w:p>
    <w:p w14:paraId="2485AAD0" w14:textId="77777777" w:rsidR="009B40CD" w:rsidRDefault="009B40CD" w:rsidP="00BB3723">
      <w:pPr>
        <w:spacing w:after="0"/>
        <w:jc w:val="both"/>
        <w:rPr>
          <w:rFonts w:cs="Arial"/>
          <w:lang w:eastAsia="en-GB"/>
        </w:rPr>
      </w:pPr>
    </w:p>
    <w:p w14:paraId="59C34375" w14:textId="27766107" w:rsidR="009B40CD" w:rsidRDefault="009B40CD" w:rsidP="009B40CD">
      <w:pPr>
        <w:spacing w:after="0"/>
        <w:jc w:val="both"/>
        <w:rPr>
          <w:b/>
          <w:color w:val="0070C0"/>
          <w:sz w:val="24"/>
          <w:szCs w:val="24"/>
        </w:rPr>
      </w:pPr>
      <w:r w:rsidRPr="00110F42">
        <w:rPr>
          <w:b/>
          <w:color w:val="0070C0"/>
          <w:sz w:val="24"/>
          <w:szCs w:val="24"/>
        </w:rPr>
        <w:t xml:space="preserve">V </w:t>
      </w:r>
      <w:r>
        <w:rPr>
          <w:b/>
          <w:color w:val="0070C0"/>
          <w:sz w:val="24"/>
          <w:szCs w:val="24"/>
        </w:rPr>
        <w:t>–</w:t>
      </w:r>
      <w:r w:rsidRPr="00110F42">
        <w:rPr>
          <w:b/>
          <w:color w:val="0070C0"/>
          <w:sz w:val="24"/>
          <w:szCs w:val="24"/>
        </w:rPr>
        <w:t xml:space="preserve"> Ethique</w:t>
      </w:r>
      <w:r>
        <w:rPr>
          <w:b/>
          <w:color w:val="0070C0"/>
          <w:sz w:val="24"/>
          <w:szCs w:val="24"/>
        </w:rPr>
        <w:t xml:space="preserve"> et responsabilité</w:t>
      </w:r>
    </w:p>
    <w:p w14:paraId="32FFB6A6" w14:textId="77777777" w:rsidR="009B40CD" w:rsidRPr="00110F42" w:rsidRDefault="009B40CD" w:rsidP="009B40CD">
      <w:pPr>
        <w:spacing w:after="0"/>
        <w:jc w:val="both"/>
        <w:rPr>
          <w:b/>
          <w:color w:val="0070C0"/>
          <w:sz w:val="24"/>
          <w:szCs w:val="24"/>
        </w:rPr>
      </w:pPr>
    </w:p>
    <w:p w14:paraId="170EBB4D" w14:textId="77777777" w:rsidR="009B40CD" w:rsidRPr="00B9144F" w:rsidRDefault="009B40CD" w:rsidP="009B40CD">
      <w:pPr>
        <w:spacing w:after="0"/>
        <w:jc w:val="both"/>
        <w:rPr>
          <w:rFonts w:cs="Arial"/>
          <w:lang w:eastAsia="en-GB"/>
        </w:rPr>
      </w:pPr>
      <w:r w:rsidRPr="00B9144F">
        <w:rPr>
          <w:rFonts w:cs="Arial"/>
          <w:lang w:eastAsia="en-GB"/>
        </w:rPr>
        <w:t>Action contre la Faim accordera une attention particulière au respect des valeurs éthiques dans le déroulement de</w:t>
      </w:r>
      <w:r>
        <w:rPr>
          <w:rFonts w:cs="Arial"/>
          <w:lang w:eastAsia="en-GB"/>
        </w:rPr>
        <w:t xml:space="preserve"> l'étude et en particulier :</w:t>
      </w:r>
    </w:p>
    <w:p w14:paraId="2B3426E8" w14:textId="77777777" w:rsidR="009B40CD" w:rsidRPr="00B9144F" w:rsidRDefault="009B40CD" w:rsidP="009B40CD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A</w:t>
      </w:r>
      <w:r w:rsidRPr="00B9144F">
        <w:rPr>
          <w:rFonts w:cs="Arial"/>
          <w:lang w:eastAsia="en-GB"/>
        </w:rPr>
        <w:t xml:space="preserve"> l'indépendance de</w:t>
      </w:r>
      <w:r>
        <w:rPr>
          <w:rFonts w:cs="Arial"/>
          <w:lang w:eastAsia="en-GB"/>
        </w:rPr>
        <w:t xml:space="preserve"> consultant impliqué dans l’étude.</w:t>
      </w:r>
    </w:p>
    <w:p w14:paraId="0AC55306" w14:textId="77777777" w:rsidR="009B40CD" w:rsidRPr="00B9144F" w:rsidRDefault="009B40CD" w:rsidP="009B40CD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A</w:t>
      </w:r>
      <w:r w:rsidRPr="00B9144F">
        <w:rPr>
          <w:rFonts w:cs="Arial"/>
          <w:lang w:eastAsia="en-GB"/>
        </w:rPr>
        <w:t>u respect de l'anonymat et de la confidentialité des personnes interrogées ou des sources de vérification</w:t>
      </w:r>
      <w:r>
        <w:rPr>
          <w:rFonts w:cs="Arial"/>
          <w:lang w:eastAsia="en-GB"/>
        </w:rPr>
        <w:t>.</w:t>
      </w:r>
    </w:p>
    <w:p w14:paraId="4F0EBE42" w14:textId="77777777" w:rsidR="009B40CD" w:rsidRDefault="009B40CD" w:rsidP="009B40CD">
      <w:pPr>
        <w:pStyle w:val="Paragraphedeliste"/>
        <w:numPr>
          <w:ilvl w:val="0"/>
          <w:numId w:val="8"/>
        </w:numPr>
        <w:spacing w:after="0" w:line="276" w:lineRule="auto"/>
        <w:jc w:val="both"/>
        <w:rPr>
          <w:rFonts w:cs="Arial"/>
          <w:lang w:eastAsia="en-GB"/>
        </w:rPr>
      </w:pPr>
      <w:r>
        <w:rPr>
          <w:rFonts w:cs="Arial"/>
          <w:lang w:eastAsia="en-GB"/>
        </w:rPr>
        <w:t>A</w:t>
      </w:r>
      <w:r w:rsidRPr="00B9144F">
        <w:rPr>
          <w:rFonts w:cs="Arial"/>
          <w:lang w:eastAsia="en-GB"/>
        </w:rPr>
        <w:t xml:space="preserve"> l´attention parti</w:t>
      </w:r>
      <w:r>
        <w:rPr>
          <w:rFonts w:cs="Arial"/>
          <w:lang w:eastAsia="en-GB"/>
        </w:rPr>
        <w:t>culière portée à l'intégrité de</w:t>
      </w:r>
      <w:r w:rsidRPr="00B9144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consultant, </w:t>
      </w:r>
      <w:r w:rsidRPr="00B9144F">
        <w:rPr>
          <w:rFonts w:cs="Arial"/>
          <w:lang w:eastAsia="en-GB"/>
        </w:rPr>
        <w:t>la rigueur et le respect de l'exactitude des données utilisées pour l'analyse et les résultats du rapport.</w:t>
      </w:r>
    </w:p>
    <w:p w14:paraId="03A5C2D8" w14:textId="77777777" w:rsidR="009B40CD" w:rsidRDefault="009B40CD" w:rsidP="009B40CD">
      <w:pPr>
        <w:pStyle w:val="Paragraphedeliste"/>
        <w:spacing w:after="0" w:line="276" w:lineRule="auto"/>
        <w:jc w:val="both"/>
        <w:rPr>
          <w:rFonts w:cs="Arial"/>
          <w:lang w:eastAsia="en-GB"/>
        </w:rPr>
      </w:pPr>
    </w:p>
    <w:p w14:paraId="36887D98" w14:textId="174C8BD7" w:rsidR="00BB3723" w:rsidRPr="00B22907" w:rsidRDefault="00BB3723" w:rsidP="00BB3723">
      <w:pPr>
        <w:spacing w:after="0"/>
        <w:jc w:val="both"/>
        <w:rPr>
          <w:rFonts w:cs="Arial"/>
          <w:lang w:eastAsia="en-GB"/>
        </w:rPr>
      </w:pPr>
      <w:r w:rsidRPr="00B9144F">
        <w:rPr>
          <w:rFonts w:cs="Arial"/>
          <w:lang w:eastAsia="en-GB"/>
        </w:rPr>
        <w:t>La situation</w:t>
      </w:r>
      <w:r>
        <w:rPr>
          <w:rFonts w:cs="Arial"/>
          <w:lang w:eastAsia="en-GB"/>
        </w:rPr>
        <w:t xml:space="preserve"> sécuritaire à Diffa appelle à la plus grande prudence.</w:t>
      </w:r>
      <w:r w:rsidRPr="00B9144F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 xml:space="preserve">L’état d’urgence y est toujours en vigueur. </w:t>
      </w:r>
      <w:r w:rsidRPr="00B22907">
        <w:rPr>
          <w:rFonts w:cs="Arial"/>
          <w:lang w:eastAsia="en-GB"/>
        </w:rPr>
        <w:t>Le</w:t>
      </w:r>
      <w:r>
        <w:rPr>
          <w:rFonts w:cs="Arial"/>
          <w:lang w:eastAsia="en-GB"/>
        </w:rPr>
        <w:t xml:space="preserve"> consultant</w:t>
      </w:r>
      <w:r w:rsidRPr="00B22907">
        <w:rPr>
          <w:rFonts w:cs="Arial"/>
          <w:lang w:eastAsia="en-GB"/>
        </w:rPr>
        <w:t xml:space="preserve"> </w:t>
      </w:r>
      <w:r>
        <w:rPr>
          <w:rFonts w:cs="Arial"/>
          <w:lang w:eastAsia="en-GB"/>
        </w:rPr>
        <w:t>devra</w:t>
      </w:r>
      <w:r w:rsidRPr="00B22907">
        <w:rPr>
          <w:rFonts w:cs="Arial"/>
          <w:lang w:eastAsia="en-GB"/>
        </w:rPr>
        <w:t xml:space="preserve"> toujours respecter les règles de sécurité </w:t>
      </w:r>
      <w:r>
        <w:rPr>
          <w:rFonts w:cs="Arial"/>
          <w:lang w:eastAsia="en-GB"/>
        </w:rPr>
        <w:t>en vigueur pour le personnel d´Action Contre la Faim</w:t>
      </w:r>
      <w:r w:rsidRPr="00B22907">
        <w:rPr>
          <w:rFonts w:cs="Arial"/>
          <w:lang w:eastAsia="en-GB"/>
        </w:rPr>
        <w:t xml:space="preserve">. </w:t>
      </w:r>
    </w:p>
    <w:p w14:paraId="2D46F72D" w14:textId="1C70BBA6" w:rsidR="00BB3723" w:rsidRPr="00B22907" w:rsidRDefault="00BB3723" w:rsidP="00BB3723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/>
          <w:sz w:val="22"/>
          <w:szCs w:val="22"/>
        </w:rPr>
      </w:pPr>
      <w:r w:rsidRPr="00B22907">
        <w:rPr>
          <w:rFonts w:asciiTheme="minorHAnsi" w:hAnsiTheme="minorHAnsi" w:cs="Arial"/>
          <w:color w:val="auto"/>
          <w:sz w:val="22"/>
          <w:szCs w:val="22"/>
          <w:lang w:eastAsia="en-GB"/>
        </w:rPr>
        <w:t xml:space="preserve">Le </w:t>
      </w:r>
      <w:r>
        <w:rPr>
          <w:rFonts w:asciiTheme="minorHAnsi" w:hAnsiTheme="minorHAnsi" w:cs="Arial"/>
          <w:color w:val="auto"/>
          <w:sz w:val="22"/>
          <w:szCs w:val="22"/>
          <w:lang w:eastAsia="en-GB"/>
        </w:rPr>
        <w:t>Consultant</w:t>
      </w:r>
      <w:r w:rsidRPr="00B22907">
        <w:rPr>
          <w:rFonts w:asciiTheme="minorHAnsi" w:hAnsiTheme="minorHAnsi" w:cs="Arial"/>
          <w:color w:val="auto"/>
          <w:sz w:val="22"/>
          <w:szCs w:val="22"/>
          <w:lang w:eastAsia="en-GB"/>
        </w:rPr>
        <w:t xml:space="preserve"> doit entièrement respecter le Charte Action Contre la Faim</w:t>
      </w:r>
      <w:r w:rsidRPr="00B22907">
        <w:rPr>
          <w:rFonts w:asciiTheme="minorHAnsi" w:hAnsiTheme="minorHAnsi"/>
          <w:sz w:val="22"/>
          <w:szCs w:val="22"/>
        </w:rPr>
        <w:t xml:space="preserve">. </w:t>
      </w:r>
    </w:p>
    <w:p w14:paraId="168553B7" w14:textId="6CD5F70D" w:rsidR="00BB3723" w:rsidRDefault="00BB3723" w:rsidP="00BB3723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/>
          <w:sz w:val="22"/>
          <w:szCs w:val="22"/>
        </w:rPr>
      </w:pPr>
      <w:r w:rsidRPr="00B22907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e consultant</w:t>
      </w:r>
      <w:r w:rsidRPr="00B22907">
        <w:rPr>
          <w:rFonts w:asciiTheme="minorHAnsi" w:hAnsiTheme="minorHAnsi"/>
          <w:sz w:val="22"/>
          <w:szCs w:val="22"/>
        </w:rPr>
        <w:t xml:space="preserve"> recevr</w:t>
      </w:r>
      <w:r>
        <w:rPr>
          <w:rFonts w:asciiTheme="minorHAnsi" w:hAnsiTheme="minorHAnsi"/>
          <w:sz w:val="22"/>
          <w:szCs w:val="22"/>
        </w:rPr>
        <w:t>a</w:t>
      </w:r>
      <w:r w:rsidRPr="00B22907">
        <w:rPr>
          <w:rFonts w:asciiTheme="minorHAnsi" w:hAnsiTheme="minorHAnsi"/>
          <w:sz w:val="22"/>
          <w:szCs w:val="22"/>
        </w:rPr>
        <w:t xml:space="preserve"> un briefing sécurité spécifique avant le démarrage de la consultance. </w:t>
      </w:r>
    </w:p>
    <w:p w14:paraId="5B06D8E0" w14:textId="1517812F" w:rsidR="009B40CD" w:rsidRPr="00B22907" w:rsidRDefault="009B40CD" w:rsidP="009B40CD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/>
          <w:sz w:val="22"/>
          <w:szCs w:val="22"/>
        </w:rPr>
      </w:pPr>
      <w:r w:rsidRPr="00330D52">
        <w:rPr>
          <w:rFonts w:asciiTheme="minorHAnsi" w:hAnsiTheme="minorHAnsi"/>
          <w:sz w:val="22"/>
          <w:szCs w:val="22"/>
        </w:rPr>
        <w:t xml:space="preserve">La durée maximum de séjour autorisée pour un expatrié de type caucasien </w:t>
      </w:r>
      <w:r>
        <w:rPr>
          <w:rFonts w:asciiTheme="minorHAnsi" w:hAnsiTheme="minorHAnsi"/>
          <w:sz w:val="22"/>
          <w:szCs w:val="22"/>
        </w:rPr>
        <w:t>à</w:t>
      </w:r>
      <w:r w:rsidRPr="00330D52">
        <w:rPr>
          <w:rFonts w:asciiTheme="minorHAnsi" w:hAnsiTheme="minorHAnsi"/>
          <w:sz w:val="22"/>
          <w:szCs w:val="22"/>
        </w:rPr>
        <w:t xml:space="preserve"> Diffa est de 5 jours. Cependant</w:t>
      </w:r>
      <w:r w:rsidRPr="00B22907">
        <w:rPr>
          <w:rFonts w:asciiTheme="minorHAnsi" w:hAnsiTheme="minorHAnsi"/>
          <w:sz w:val="22"/>
          <w:szCs w:val="22"/>
        </w:rPr>
        <w:t xml:space="preserve"> une déro</w:t>
      </w:r>
      <w:r>
        <w:rPr>
          <w:rFonts w:asciiTheme="minorHAnsi" w:hAnsiTheme="minorHAnsi"/>
          <w:sz w:val="22"/>
          <w:szCs w:val="22"/>
        </w:rPr>
        <w:t>gation peut être accordée par le Directeur</w:t>
      </w:r>
      <w:r w:rsidRPr="00B22907">
        <w:rPr>
          <w:rFonts w:asciiTheme="minorHAnsi" w:hAnsiTheme="minorHAnsi"/>
          <w:sz w:val="22"/>
          <w:szCs w:val="22"/>
        </w:rPr>
        <w:t xml:space="preserve"> Pays, si une présence plus longue est nécessaire pour la mise en œuvre des activités.</w:t>
      </w:r>
    </w:p>
    <w:p w14:paraId="6773A827" w14:textId="6329F301" w:rsidR="009B40CD" w:rsidRPr="009B40CD" w:rsidRDefault="009B40CD" w:rsidP="009B40CD">
      <w:pPr>
        <w:pStyle w:val="Default"/>
        <w:numPr>
          <w:ilvl w:val="0"/>
          <w:numId w:val="6"/>
        </w:numPr>
        <w:spacing w:after="30"/>
        <w:jc w:val="both"/>
        <w:rPr>
          <w:rFonts w:asciiTheme="minorHAnsi" w:hAnsiTheme="minorHAnsi"/>
          <w:sz w:val="22"/>
          <w:szCs w:val="22"/>
        </w:rPr>
      </w:pPr>
      <w:r w:rsidRPr="00B22907">
        <w:rPr>
          <w:rFonts w:asciiTheme="minorHAnsi" w:hAnsiTheme="minorHAnsi"/>
          <w:sz w:val="22"/>
          <w:szCs w:val="22"/>
        </w:rPr>
        <w:t>Action Contre la Faim ser</w:t>
      </w:r>
      <w:r>
        <w:rPr>
          <w:rFonts w:asciiTheme="minorHAnsi" w:hAnsiTheme="minorHAnsi"/>
          <w:sz w:val="22"/>
          <w:szCs w:val="22"/>
        </w:rPr>
        <w:t>a responsable de la sécurité du consultant</w:t>
      </w:r>
      <w:r w:rsidRPr="00B22907">
        <w:rPr>
          <w:rFonts w:asciiTheme="minorHAnsi" w:hAnsiTheme="minorHAnsi"/>
          <w:sz w:val="22"/>
          <w:szCs w:val="22"/>
        </w:rPr>
        <w:t xml:space="preserve"> et des éventuelles personnes recrutées par les consultants pendant le séjou</w:t>
      </w:r>
      <w:r>
        <w:rPr>
          <w:rFonts w:asciiTheme="minorHAnsi" w:hAnsiTheme="minorHAnsi"/>
          <w:sz w:val="22"/>
          <w:szCs w:val="22"/>
        </w:rPr>
        <w:t>r et travail sur le terrain. Le consultant</w:t>
      </w:r>
      <w:r w:rsidRPr="00B22907">
        <w:rPr>
          <w:rFonts w:asciiTheme="minorHAnsi" w:hAnsiTheme="minorHAnsi"/>
          <w:sz w:val="22"/>
          <w:szCs w:val="22"/>
        </w:rPr>
        <w:t xml:space="preserve"> et </w:t>
      </w:r>
      <w:r>
        <w:rPr>
          <w:rFonts w:asciiTheme="minorHAnsi" w:hAnsiTheme="minorHAnsi"/>
          <w:sz w:val="22"/>
          <w:szCs w:val="22"/>
        </w:rPr>
        <w:t>son</w:t>
      </w:r>
      <w:r w:rsidRPr="00B22907">
        <w:rPr>
          <w:rFonts w:asciiTheme="minorHAnsi" w:hAnsiTheme="minorHAnsi"/>
          <w:sz w:val="22"/>
          <w:szCs w:val="22"/>
        </w:rPr>
        <w:t xml:space="preserve"> équipe sont obligés de respecter les consignes de sécurité donnés par le point focal sécurité mission</w:t>
      </w:r>
      <w:r>
        <w:rPr>
          <w:rFonts w:asciiTheme="minorHAnsi" w:hAnsiTheme="minorHAnsi"/>
          <w:sz w:val="22"/>
          <w:szCs w:val="22"/>
        </w:rPr>
        <w:t>.</w:t>
      </w:r>
    </w:p>
    <w:p w14:paraId="77AA32CB" w14:textId="27BCE7C0" w:rsidR="00BB3723" w:rsidRPr="00B22907" w:rsidRDefault="009B40CD" w:rsidP="00BB3723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="00BB3723" w:rsidRPr="00B22907">
        <w:rPr>
          <w:rFonts w:asciiTheme="minorHAnsi" w:hAnsiTheme="minorHAnsi"/>
          <w:sz w:val="22"/>
          <w:szCs w:val="22"/>
        </w:rPr>
        <w:t xml:space="preserve"> </w:t>
      </w:r>
      <w:r w:rsidR="00BB3723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onsultant</w:t>
      </w:r>
      <w:r w:rsidR="00BB3723" w:rsidRPr="00B2290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es</w:t>
      </w:r>
      <w:r w:rsidR="00BB3723" w:rsidRPr="00B22907">
        <w:rPr>
          <w:rFonts w:asciiTheme="minorHAnsi" w:hAnsiTheme="minorHAnsi"/>
          <w:sz w:val="22"/>
          <w:szCs w:val="22"/>
        </w:rPr>
        <w:t>t responsable de leur assurance médicale et personnelle pendant toute la durée de la mission. En cas de besoin et au mesure possible, A</w:t>
      </w:r>
      <w:r w:rsidR="00BB3723">
        <w:rPr>
          <w:rFonts w:asciiTheme="minorHAnsi" w:hAnsiTheme="minorHAnsi"/>
          <w:sz w:val="22"/>
          <w:szCs w:val="22"/>
        </w:rPr>
        <w:t xml:space="preserve">ction </w:t>
      </w:r>
      <w:r w:rsidR="00BB3723" w:rsidRPr="00B22907">
        <w:rPr>
          <w:rFonts w:asciiTheme="minorHAnsi" w:hAnsiTheme="minorHAnsi"/>
          <w:sz w:val="22"/>
          <w:szCs w:val="22"/>
        </w:rPr>
        <w:t>C</w:t>
      </w:r>
      <w:r w:rsidR="00BB3723">
        <w:rPr>
          <w:rFonts w:asciiTheme="minorHAnsi" w:hAnsiTheme="minorHAnsi"/>
          <w:sz w:val="22"/>
          <w:szCs w:val="22"/>
        </w:rPr>
        <w:t xml:space="preserve">ontre la </w:t>
      </w:r>
      <w:r w:rsidR="00BB3723" w:rsidRPr="00B22907">
        <w:rPr>
          <w:rFonts w:asciiTheme="minorHAnsi" w:hAnsiTheme="minorHAnsi"/>
          <w:sz w:val="22"/>
          <w:szCs w:val="22"/>
        </w:rPr>
        <w:t>F</w:t>
      </w:r>
      <w:r w:rsidR="00BB3723">
        <w:rPr>
          <w:rFonts w:asciiTheme="minorHAnsi" w:hAnsiTheme="minorHAnsi"/>
          <w:sz w:val="22"/>
          <w:szCs w:val="22"/>
        </w:rPr>
        <w:t>aim</w:t>
      </w:r>
      <w:r w:rsidR="00BB3723" w:rsidRPr="00B22907">
        <w:rPr>
          <w:rFonts w:asciiTheme="minorHAnsi" w:hAnsiTheme="minorHAnsi"/>
          <w:sz w:val="22"/>
          <w:szCs w:val="22"/>
        </w:rPr>
        <w:t xml:space="preserve"> facilitera le contact et la possible admission aux services de santé. </w:t>
      </w:r>
    </w:p>
    <w:p w14:paraId="576B8CF5" w14:textId="5A22ABF6" w:rsidR="00BB3723" w:rsidRPr="00B22907" w:rsidRDefault="00BB3723" w:rsidP="00BB3723">
      <w:pPr>
        <w:pStyle w:val="Default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B22907">
        <w:rPr>
          <w:rFonts w:asciiTheme="minorHAnsi" w:hAnsiTheme="minorHAnsi" w:cstheme="minorBidi"/>
          <w:color w:val="auto"/>
          <w:sz w:val="22"/>
          <w:szCs w:val="22"/>
        </w:rPr>
        <w:lastRenderedPageBreak/>
        <w:t>En cas d’urgence médicale ou situation sécuritaire exigeant une évacuation, Action Contre la Faim facilitera l’évacuation d</w:t>
      </w:r>
      <w:r w:rsidR="009B40CD">
        <w:rPr>
          <w:rFonts w:asciiTheme="minorHAnsi" w:hAnsiTheme="minorHAnsi" w:cstheme="minorBidi"/>
          <w:color w:val="auto"/>
          <w:sz w:val="22"/>
          <w:szCs w:val="22"/>
        </w:rPr>
        <w:t>u consultant</w:t>
      </w:r>
      <w:r w:rsidRPr="00B22907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9B40CD">
        <w:rPr>
          <w:rFonts w:asciiTheme="minorHAnsi" w:hAnsiTheme="minorHAnsi" w:cstheme="minorBidi"/>
          <w:color w:val="auto"/>
          <w:sz w:val="22"/>
          <w:szCs w:val="22"/>
        </w:rPr>
        <w:t>dans la</w:t>
      </w:r>
      <w:r w:rsidRPr="00B22907">
        <w:rPr>
          <w:rFonts w:asciiTheme="minorHAnsi" w:hAnsiTheme="minorHAnsi" w:cstheme="minorBidi"/>
          <w:color w:val="auto"/>
          <w:sz w:val="22"/>
          <w:szCs w:val="22"/>
        </w:rPr>
        <w:t xml:space="preserve"> mesure</w:t>
      </w:r>
      <w:r w:rsidR="009B40CD">
        <w:rPr>
          <w:rFonts w:asciiTheme="minorHAnsi" w:hAnsiTheme="minorHAnsi" w:cstheme="minorBidi"/>
          <w:color w:val="auto"/>
          <w:sz w:val="22"/>
          <w:szCs w:val="22"/>
        </w:rPr>
        <w:t xml:space="preserve"> du</w:t>
      </w:r>
      <w:bookmarkStart w:id="0" w:name="_GoBack"/>
      <w:bookmarkEnd w:id="0"/>
      <w:r w:rsidRPr="00B22907">
        <w:rPr>
          <w:rFonts w:asciiTheme="minorHAnsi" w:hAnsiTheme="minorHAnsi" w:cstheme="minorBidi"/>
          <w:color w:val="auto"/>
          <w:sz w:val="22"/>
          <w:szCs w:val="22"/>
        </w:rPr>
        <w:t xml:space="preserve"> possible et en lien avec sa compagnie d’assurance. </w:t>
      </w:r>
    </w:p>
    <w:p w14:paraId="726626DC" w14:textId="77777777" w:rsidR="00BB3723" w:rsidRPr="004C234B" w:rsidRDefault="00BB3723" w:rsidP="00BB3723">
      <w:pPr>
        <w:spacing w:after="0"/>
        <w:jc w:val="both"/>
      </w:pPr>
    </w:p>
    <w:sectPr w:rsidR="00BB3723" w:rsidRPr="004C2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Pro Book">
    <w:altName w:val="Segoe UI Semibold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03BB"/>
    <w:multiLevelType w:val="hybridMultilevel"/>
    <w:tmpl w:val="F4446D70"/>
    <w:lvl w:ilvl="0" w:tplc="33FCB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9EB"/>
    <w:multiLevelType w:val="hybridMultilevel"/>
    <w:tmpl w:val="990256AC"/>
    <w:lvl w:ilvl="0" w:tplc="1F00841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642417"/>
    <w:multiLevelType w:val="hybridMultilevel"/>
    <w:tmpl w:val="601C712C"/>
    <w:lvl w:ilvl="0" w:tplc="9B2C67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C1A76"/>
    <w:multiLevelType w:val="hybridMultilevel"/>
    <w:tmpl w:val="15A6F40E"/>
    <w:lvl w:ilvl="0" w:tplc="D5223070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E2619D"/>
    <w:multiLevelType w:val="hybridMultilevel"/>
    <w:tmpl w:val="CA4663FC"/>
    <w:lvl w:ilvl="0" w:tplc="33FCB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37945"/>
    <w:multiLevelType w:val="hybridMultilevel"/>
    <w:tmpl w:val="E90614C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F343C9"/>
    <w:multiLevelType w:val="hybridMultilevel"/>
    <w:tmpl w:val="E06E5C32"/>
    <w:lvl w:ilvl="0" w:tplc="33FCB6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0C8"/>
    <w:multiLevelType w:val="hybridMultilevel"/>
    <w:tmpl w:val="7248A8E4"/>
    <w:lvl w:ilvl="0" w:tplc="3BC0A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97"/>
    <w:rsid w:val="00023B76"/>
    <w:rsid w:val="00025691"/>
    <w:rsid w:val="00047288"/>
    <w:rsid w:val="00063072"/>
    <w:rsid w:val="00063D3B"/>
    <w:rsid w:val="000961E9"/>
    <w:rsid w:val="000D7AE7"/>
    <w:rsid w:val="00134C53"/>
    <w:rsid w:val="00140658"/>
    <w:rsid w:val="001555EA"/>
    <w:rsid w:val="001B59E0"/>
    <w:rsid w:val="001D6614"/>
    <w:rsid w:val="001E0A9A"/>
    <w:rsid w:val="00287CE4"/>
    <w:rsid w:val="002925BB"/>
    <w:rsid w:val="002C6944"/>
    <w:rsid w:val="002D3C90"/>
    <w:rsid w:val="002D4FBE"/>
    <w:rsid w:val="002E14C9"/>
    <w:rsid w:val="002E7F94"/>
    <w:rsid w:val="00312E25"/>
    <w:rsid w:val="003E33E0"/>
    <w:rsid w:val="003E64BA"/>
    <w:rsid w:val="00414D87"/>
    <w:rsid w:val="00424A20"/>
    <w:rsid w:val="00432468"/>
    <w:rsid w:val="00442997"/>
    <w:rsid w:val="00482028"/>
    <w:rsid w:val="004B55FD"/>
    <w:rsid w:val="004C234B"/>
    <w:rsid w:val="004F2D9F"/>
    <w:rsid w:val="0054311C"/>
    <w:rsid w:val="00551D25"/>
    <w:rsid w:val="00570A78"/>
    <w:rsid w:val="005C471D"/>
    <w:rsid w:val="005D4C6D"/>
    <w:rsid w:val="005F715A"/>
    <w:rsid w:val="00691A8D"/>
    <w:rsid w:val="006974C1"/>
    <w:rsid w:val="006A69AE"/>
    <w:rsid w:val="006E0F67"/>
    <w:rsid w:val="00726A74"/>
    <w:rsid w:val="00782190"/>
    <w:rsid w:val="007A627D"/>
    <w:rsid w:val="007E0E1F"/>
    <w:rsid w:val="007E3D92"/>
    <w:rsid w:val="007F1500"/>
    <w:rsid w:val="00851354"/>
    <w:rsid w:val="008C2613"/>
    <w:rsid w:val="008D417E"/>
    <w:rsid w:val="008F1767"/>
    <w:rsid w:val="00906514"/>
    <w:rsid w:val="009274AA"/>
    <w:rsid w:val="00942408"/>
    <w:rsid w:val="0095203E"/>
    <w:rsid w:val="00965912"/>
    <w:rsid w:val="009A63FF"/>
    <w:rsid w:val="009B40CD"/>
    <w:rsid w:val="00A002F6"/>
    <w:rsid w:val="00A36965"/>
    <w:rsid w:val="00AB2CD1"/>
    <w:rsid w:val="00AE2FBF"/>
    <w:rsid w:val="00B271A0"/>
    <w:rsid w:val="00B32D59"/>
    <w:rsid w:val="00B3449F"/>
    <w:rsid w:val="00B4795D"/>
    <w:rsid w:val="00B66F56"/>
    <w:rsid w:val="00BB3723"/>
    <w:rsid w:val="00BF4EBA"/>
    <w:rsid w:val="00C03B1C"/>
    <w:rsid w:val="00C07BE5"/>
    <w:rsid w:val="00C201A0"/>
    <w:rsid w:val="00C6764E"/>
    <w:rsid w:val="00CB0806"/>
    <w:rsid w:val="00D36588"/>
    <w:rsid w:val="00D51D10"/>
    <w:rsid w:val="00D72333"/>
    <w:rsid w:val="00DD6271"/>
    <w:rsid w:val="00E214D8"/>
    <w:rsid w:val="00E34A43"/>
    <w:rsid w:val="00E3706B"/>
    <w:rsid w:val="00E55606"/>
    <w:rsid w:val="00EA3142"/>
    <w:rsid w:val="00EB642C"/>
    <w:rsid w:val="00EC49CE"/>
    <w:rsid w:val="00F22A60"/>
    <w:rsid w:val="00F35272"/>
    <w:rsid w:val="00F53A1A"/>
    <w:rsid w:val="00F5768D"/>
    <w:rsid w:val="00F617F7"/>
    <w:rsid w:val="00F77684"/>
    <w:rsid w:val="00FD499C"/>
    <w:rsid w:val="00FF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6514E"/>
  <w15:chartTrackingRefBased/>
  <w15:docId w15:val="{8CF6451D-3659-4206-A6F2-3C413223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372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Dot pt,No Spacing1,List Paragraph Char Char Char,Indicator Text,List Paragraph1,Numbered Para 1,List Paragraph12,Bullet Points,MAIN CONTENT,Colorful List - Accent 11,List Tables,Bullets,Objectifs,Titre1,References,Liste 1,Premier,RM1"/>
    <w:basedOn w:val="Normal"/>
    <w:link w:val="ParagraphedelisteCar"/>
    <w:uiPriority w:val="34"/>
    <w:qFormat/>
    <w:rsid w:val="0044299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429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29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29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29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299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2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997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aliases w:val="Dot pt Car,No Spacing1 Car,List Paragraph Char Char Char Car,Indicator Text Car,List Paragraph1 Car,Numbered Para 1 Car,List Paragraph12 Car,Bullet Points Car,MAIN CONTENT Car,Colorful List - Accent 11 Car,List Tables Car,RM1 Car"/>
    <w:link w:val="Paragraphedeliste"/>
    <w:uiPriority w:val="34"/>
    <w:locked/>
    <w:rsid w:val="00414D87"/>
  </w:style>
  <w:style w:type="table" w:styleId="Grilledutableau">
    <w:name w:val="Table Grid"/>
    <w:basedOn w:val="TableauNormal"/>
    <w:uiPriority w:val="39"/>
    <w:rsid w:val="00C67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B37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BB3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9B4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%20ACF\AppData\Local\Microsoft\Windows\INetCache\Content.Outlook\AVYG5D3J\cmelis@ne.acfspain.org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USER%20ACF\AppData\Local\Microsoft\Windows\INetCache\Content.Outlook\AVYG5D3J\pasket@ne.acfspai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%20ACF\AppData\Local\Microsoft\Windows\INetCache\Content.Outlook\AVYG5D3J\maggarcia@ne.acfspain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6475-D53B-4B8C-BDC9-FCC4B7BA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Garcia ACF</dc:creator>
  <cp:keywords/>
  <dc:description/>
  <cp:lastModifiedBy>Magali Garcia ACF</cp:lastModifiedBy>
  <cp:revision>23</cp:revision>
  <dcterms:created xsi:type="dcterms:W3CDTF">2017-06-13T17:47:00Z</dcterms:created>
  <dcterms:modified xsi:type="dcterms:W3CDTF">2017-07-19T15:15:00Z</dcterms:modified>
</cp:coreProperties>
</file>